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CA1C2" w14:textId="7A12305C" w:rsidR="004B2E6D" w:rsidRDefault="004B2E6D">
      <w:pPr>
        <w:rPr>
          <w:b/>
          <w:bCs/>
          <w:sz w:val="32"/>
          <w:szCs w:val="32"/>
        </w:rPr>
      </w:pPr>
      <w:r>
        <w:rPr>
          <w:noProof/>
          <w:lang w:eastAsia="en-GB"/>
        </w:rPr>
        <w:drawing>
          <wp:anchor distT="0" distB="0" distL="114300" distR="114300" simplePos="0" relativeHeight="251658240" behindDoc="0" locked="0" layoutInCell="1" allowOverlap="1" wp14:anchorId="53850705" wp14:editId="121CCB0D">
            <wp:simplePos x="0" y="0"/>
            <wp:positionH relativeFrom="column">
              <wp:posOffset>6324600</wp:posOffset>
            </wp:positionH>
            <wp:positionV relativeFrom="paragraph">
              <wp:posOffset>7620</wp:posOffset>
            </wp:positionV>
            <wp:extent cx="2628900" cy="1515745"/>
            <wp:effectExtent l="0" t="0" r="0" b="8255"/>
            <wp:wrapNone/>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28900" cy="1515745"/>
                    </a:xfrm>
                    <a:prstGeom prst="rect">
                      <a:avLst/>
                    </a:prstGeom>
                  </pic:spPr>
                </pic:pic>
              </a:graphicData>
            </a:graphic>
            <wp14:sizeRelH relativeFrom="margin">
              <wp14:pctWidth>0</wp14:pctWidth>
            </wp14:sizeRelH>
            <wp14:sizeRelV relativeFrom="margin">
              <wp14:pctHeight>0</wp14:pctHeight>
            </wp14:sizeRelV>
          </wp:anchor>
        </w:drawing>
      </w:r>
    </w:p>
    <w:p w14:paraId="1A07D0E9" w14:textId="1623E4EE" w:rsidR="004B2E6D" w:rsidRDefault="00674D62">
      <w:pPr>
        <w:rPr>
          <w:b/>
          <w:bCs/>
          <w:sz w:val="32"/>
          <w:szCs w:val="32"/>
        </w:rPr>
      </w:pPr>
      <w:r w:rsidRPr="004B2E6D">
        <w:rPr>
          <w:b/>
          <w:bCs/>
          <w:sz w:val="32"/>
          <w:szCs w:val="32"/>
        </w:rPr>
        <w:t>Full opening of schools</w:t>
      </w:r>
      <w:r w:rsidR="00C5602D" w:rsidRPr="004B2E6D">
        <w:rPr>
          <w:b/>
          <w:bCs/>
          <w:sz w:val="32"/>
          <w:szCs w:val="32"/>
        </w:rPr>
        <w:t xml:space="preserve">: </w:t>
      </w:r>
      <w:r w:rsidR="009C4FC3" w:rsidRPr="004B2E6D">
        <w:rPr>
          <w:b/>
          <w:bCs/>
          <w:sz w:val="32"/>
          <w:szCs w:val="32"/>
        </w:rPr>
        <w:t xml:space="preserve">a </w:t>
      </w:r>
      <w:r w:rsidR="00C5602D" w:rsidRPr="004B2E6D">
        <w:rPr>
          <w:b/>
          <w:bCs/>
          <w:sz w:val="32"/>
          <w:szCs w:val="32"/>
        </w:rPr>
        <w:t xml:space="preserve">decision-making framework for </w:t>
      </w:r>
    </w:p>
    <w:p w14:paraId="00566DB7" w14:textId="070CEC5A" w:rsidR="00C90060" w:rsidRDefault="00C5602D">
      <w:pPr>
        <w:rPr>
          <w:b/>
          <w:bCs/>
          <w:sz w:val="32"/>
          <w:szCs w:val="32"/>
        </w:rPr>
      </w:pPr>
      <w:r w:rsidRPr="004B2E6D">
        <w:rPr>
          <w:b/>
          <w:bCs/>
          <w:sz w:val="32"/>
          <w:szCs w:val="32"/>
        </w:rPr>
        <w:t>T</w:t>
      </w:r>
      <w:r w:rsidR="00AC3DBE" w:rsidRPr="004B2E6D">
        <w:rPr>
          <w:b/>
          <w:bCs/>
          <w:sz w:val="32"/>
          <w:szCs w:val="32"/>
        </w:rPr>
        <w:t xml:space="preserve">he Rose Learning </w:t>
      </w:r>
      <w:r w:rsidR="00DA0533" w:rsidRPr="004B2E6D">
        <w:rPr>
          <w:b/>
          <w:bCs/>
          <w:sz w:val="32"/>
          <w:szCs w:val="32"/>
        </w:rPr>
        <w:t>Trust (</w:t>
      </w:r>
      <w:r w:rsidR="00282403" w:rsidRPr="004B2E6D">
        <w:rPr>
          <w:b/>
          <w:bCs/>
          <w:sz w:val="32"/>
          <w:szCs w:val="32"/>
        </w:rPr>
        <w:t>February 2021)</w:t>
      </w:r>
      <w:r w:rsidR="00D67975">
        <w:rPr>
          <w:b/>
          <w:bCs/>
          <w:sz w:val="32"/>
          <w:szCs w:val="32"/>
        </w:rPr>
        <w:t xml:space="preserve"> – </w:t>
      </w:r>
    </w:p>
    <w:p w14:paraId="130AD63F" w14:textId="009648F3" w:rsidR="004B2E6D" w:rsidRDefault="00D67975" w:rsidP="00D67975">
      <w:pPr>
        <w:rPr>
          <w:i/>
          <w:iCs/>
          <w:sz w:val="24"/>
          <w:szCs w:val="24"/>
        </w:rPr>
      </w:pPr>
      <w:r>
        <w:rPr>
          <w:b/>
          <w:bCs/>
          <w:sz w:val="32"/>
          <w:szCs w:val="32"/>
        </w:rPr>
        <w:t>Lakeside Primary Academy</w:t>
      </w:r>
      <w:bookmarkStart w:id="0" w:name="_GoBack"/>
      <w:bookmarkEnd w:id="0"/>
    </w:p>
    <w:p w14:paraId="5A344D7D" w14:textId="77777777" w:rsidR="004B2E6D" w:rsidRDefault="004B2E6D" w:rsidP="00113E13">
      <w:pPr>
        <w:spacing w:before="120" w:after="120" w:line="276" w:lineRule="auto"/>
        <w:rPr>
          <w:i/>
          <w:iCs/>
          <w:sz w:val="24"/>
          <w:szCs w:val="24"/>
        </w:rPr>
      </w:pPr>
    </w:p>
    <w:p w14:paraId="69FCAFCF" w14:textId="579BC2A9" w:rsidR="004B2E6D" w:rsidRDefault="004B2E6D" w:rsidP="00113E13">
      <w:pPr>
        <w:spacing w:before="120" w:after="120" w:line="276" w:lineRule="auto"/>
        <w:rPr>
          <w:i/>
          <w:iCs/>
          <w:sz w:val="24"/>
          <w:szCs w:val="24"/>
        </w:rPr>
      </w:pPr>
      <w:r>
        <w:rPr>
          <w:i/>
          <w:iCs/>
          <w:noProof/>
          <w:sz w:val="24"/>
          <w:szCs w:val="24"/>
          <w:lang w:eastAsia="en-GB"/>
        </w:rPr>
        <mc:AlternateContent>
          <mc:Choice Requires="wps">
            <w:drawing>
              <wp:anchor distT="0" distB="0" distL="114300" distR="114300" simplePos="0" relativeHeight="251659264" behindDoc="0" locked="0" layoutInCell="1" allowOverlap="1" wp14:anchorId="0D87A4D7" wp14:editId="68459F06">
                <wp:simplePos x="0" y="0"/>
                <wp:positionH relativeFrom="margin">
                  <wp:align>left</wp:align>
                </wp:positionH>
                <wp:positionV relativeFrom="paragraph">
                  <wp:posOffset>102869</wp:posOffset>
                </wp:positionV>
                <wp:extent cx="8858250" cy="381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858250" cy="381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952CE70"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1pt" to="69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" strokecolor="#70ad47 [3209]" strokeweight=".5pt">
                <v:stroke joinstyle="miter"/>
                <w10:wrap anchorx="margin"/>
              </v:line>
            </w:pict>
          </mc:Fallback>
        </mc:AlternateContent>
      </w:r>
    </w:p>
    <w:p w14:paraId="60F53523" w14:textId="77777777" w:rsidR="004B2E6D" w:rsidRDefault="004B2E6D" w:rsidP="00113E13">
      <w:pPr>
        <w:spacing w:before="120" w:after="120" w:line="276" w:lineRule="auto"/>
        <w:rPr>
          <w:i/>
          <w:iCs/>
          <w:sz w:val="24"/>
          <w:szCs w:val="24"/>
        </w:rPr>
      </w:pPr>
    </w:p>
    <w:p w14:paraId="7A69CECB" w14:textId="0CA2E9EF" w:rsidR="0014085E" w:rsidRPr="00113E13" w:rsidRDefault="001A594C" w:rsidP="00113E13">
      <w:pPr>
        <w:spacing w:before="120" w:after="120" w:line="276" w:lineRule="auto"/>
        <w:rPr>
          <w:rFonts w:eastAsia="Times New Roman" w:cstheme="minorHAnsi"/>
          <w:color w:val="0B0C0C"/>
          <w:sz w:val="24"/>
          <w:szCs w:val="24"/>
          <w:lang w:eastAsia="en-GB"/>
        </w:rPr>
      </w:pPr>
      <w:r>
        <w:rPr>
          <w:i/>
          <w:iCs/>
          <w:sz w:val="24"/>
          <w:szCs w:val="24"/>
        </w:rPr>
        <w:t xml:space="preserve">This framework is adapted from </w:t>
      </w:r>
      <w:r w:rsidR="00814E9F">
        <w:rPr>
          <w:i/>
          <w:iCs/>
          <w:sz w:val="24"/>
          <w:szCs w:val="24"/>
        </w:rPr>
        <w:t>The Confederation of School Trusts (CST)</w:t>
      </w:r>
      <w:r>
        <w:rPr>
          <w:i/>
          <w:iCs/>
          <w:sz w:val="24"/>
          <w:szCs w:val="24"/>
        </w:rPr>
        <w:t>,</w:t>
      </w:r>
      <w:r w:rsidR="00814E9F">
        <w:rPr>
          <w:i/>
          <w:iCs/>
          <w:sz w:val="24"/>
          <w:szCs w:val="24"/>
        </w:rPr>
        <w:t xml:space="preserve"> the national organisation and sector body for academy and multi-academy trusts. </w:t>
      </w:r>
      <w:r w:rsidR="008E518A">
        <w:rPr>
          <w:i/>
          <w:iCs/>
          <w:sz w:val="24"/>
          <w:szCs w:val="24"/>
        </w:rPr>
        <w:t xml:space="preserve">We </w:t>
      </w:r>
      <w:r w:rsidR="00814E9F">
        <w:rPr>
          <w:i/>
          <w:iCs/>
          <w:sz w:val="24"/>
          <w:szCs w:val="24"/>
        </w:rPr>
        <w:t xml:space="preserve">have </w:t>
      </w:r>
      <w:r w:rsidR="00674D62">
        <w:rPr>
          <w:i/>
          <w:iCs/>
          <w:sz w:val="24"/>
          <w:szCs w:val="24"/>
        </w:rPr>
        <w:t xml:space="preserve">updated </w:t>
      </w:r>
      <w:r w:rsidR="008E518A">
        <w:rPr>
          <w:i/>
          <w:iCs/>
          <w:sz w:val="24"/>
          <w:szCs w:val="24"/>
        </w:rPr>
        <w:t xml:space="preserve">the </w:t>
      </w:r>
      <w:r w:rsidR="00674D62">
        <w:rPr>
          <w:i/>
          <w:iCs/>
          <w:sz w:val="24"/>
          <w:szCs w:val="24"/>
        </w:rPr>
        <w:t>decision-making</w:t>
      </w:r>
      <w:r w:rsidR="00814E9F">
        <w:rPr>
          <w:i/>
          <w:iCs/>
          <w:sz w:val="24"/>
          <w:szCs w:val="24"/>
        </w:rPr>
        <w:t xml:space="preserve"> framework to </w:t>
      </w:r>
      <w:r w:rsidR="00674D62">
        <w:rPr>
          <w:i/>
          <w:iCs/>
          <w:sz w:val="24"/>
          <w:szCs w:val="24"/>
        </w:rPr>
        <w:t>reflect the</w:t>
      </w:r>
      <w:r w:rsidR="00F540BB">
        <w:rPr>
          <w:i/>
          <w:iCs/>
          <w:sz w:val="24"/>
          <w:szCs w:val="24"/>
        </w:rPr>
        <w:t xml:space="preserve"> </w:t>
      </w:r>
      <w:hyperlink r:id="rId8" w:history="1">
        <w:r w:rsidR="0014085E" w:rsidRPr="00113E13">
          <w:rPr>
            <w:rStyle w:val="Hyperlink"/>
            <w:rFonts w:eastAsia="Times New Roman" w:cstheme="minorHAnsi"/>
            <w:sz w:val="24"/>
            <w:szCs w:val="24"/>
          </w:rPr>
          <w:t>Schools Covid-19 operational guidance</w:t>
        </w:r>
      </w:hyperlink>
      <w:r w:rsidR="008E518A">
        <w:rPr>
          <w:rFonts w:eastAsia="Times New Roman" w:cstheme="minorHAnsi"/>
          <w:sz w:val="24"/>
          <w:szCs w:val="24"/>
        </w:rPr>
        <w:t xml:space="preserve"> and trust specific information</w:t>
      </w:r>
      <w:r w:rsidR="00B228C8">
        <w:rPr>
          <w:rFonts w:eastAsia="Times New Roman" w:cstheme="minorHAnsi"/>
          <w:sz w:val="24"/>
          <w:szCs w:val="24"/>
        </w:rPr>
        <w:t>.</w:t>
      </w:r>
    </w:p>
    <w:p w14:paraId="199A63D8" w14:textId="1DFF3C3C" w:rsidR="00A933DC" w:rsidRDefault="007A385A" w:rsidP="00113E13">
      <w:pPr>
        <w:spacing w:before="120" w:after="120"/>
        <w:rPr>
          <w:i/>
          <w:iCs/>
          <w:sz w:val="24"/>
          <w:szCs w:val="24"/>
        </w:rPr>
      </w:pPr>
      <w:r>
        <w:rPr>
          <w:i/>
          <w:iCs/>
          <w:sz w:val="24"/>
          <w:szCs w:val="24"/>
        </w:rPr>
        <w:t>The framework outlines</w:t>
      </w:r>
      <w:r w:rsidR="00357A25">
        <w:rPr>
          <w:i/>
          <w:iCs/>
          <w:sz w:val="24"/>
          <w:szCs w:val="24"/>
        </w:rPr>
        <w:t xml:space="preserve"> a series of strategic</w:t>
      </w:r>
      <w:r>
        <w:rPr>
          <w:i/>
          <w:iCs/>
          <w:sz w:val="24"/>
          <w:szCs w:val="24"/>
        </w:rPr>
        <w:t xml:space="preserve"> actions for </w:t>
      </w:r>
      <w:r w:rsidR="00B228C8">
        <w:rPr>
          <w:i/>
          <w:iCs/>
          <w:sz w:val="24"/>
          <w:szCs w:val="24"/>
        </w:rPr>
        <w:t>the trust</w:t>
      </w:r>
      <w:r>
        <w:rPr>
          <w:i/>
          <w:iCs/>
          <w:sz w:val="24"/>
          <w:szCs w:val="24"/>
        </w:rPr>
        <w:t xml:space="preserve"> to take </w:t>
      </w:r>
      <w:r w:rsidR="00C95BE9">
        <w:rPr>
          <w:i/>
          <w:iCs/>
          <w:sz w:val="24"/>
          <w:szCs w:val="24"/>
        </w:rPr>
        <w:t xml:space="preserve">about the full opening of schools </w:t>
      </w:r>
      <w:r w:rsidR="006A0162">
        <w:rPr>
          <w:i/>
          <w:iCs/>
          <w:sz w:val="24"/>
          <w:szCs w:val="24"/>
        </w:rPr>
        <w:t xml:space="preserve">on </w:t>
      </w:r>
      <w:r w:rsidR="006A0162" w:rsidRPr="00B228C8">
        <w:rPr>
          <w:b/>
          <w:bCs/>
          <w:i/>
          <w:iCs/>
          <w:sz w:val="24"/>
          <w:szCs w:val="24"/>
        </w:rPr>
        <w:t>8</w:t>
      </w:r>
      <w:r w:rsidR="006A0162" w:rsidRPr="00B228C8">
        <w:rPr>
          <w:b/>
          <w:bCs/>
          <w:i/>
          <w:iCs/>
          <w:sz w:val="24"/>
          <w:szCs w:val="24"/>
          <w:vertAlign w:val="superscript"/>
        </w:rPr>
        <w:t>th</w:t>
      </w:r>
      <w:r w:rsidR="006A0162" w:rsidRPr="00B228C8">
        <w:rPr>
          <w:b/>
          <w:bCs/>
          <w:i/>
          <w:iCs/>
          <w:sz w:val="24"/>
          <w:szCs w:val="24"/>
        </w:rPr>
        <w:t xml:space="preserve"> March 2021</w:t>
      </w:r>
      <w:r>
        <w:rPr>
          <w:i/>
          <w:iCs/>
          <w:sz w:val="24"/>
          <w:szCs w:val="24"/>
        </w:rPr>
        <w:t xml:space="preserve">. </w:t>
      </w:r>
      <w:r w:rsidR="00610662">
        <w:rPr>
          <w:i/>
          <w:iCs/>
          <w:sz w:val="24"/>
          <w:szCs w:val="24"/>
        </w:rPr>
        <w:t xml:space="preserve">It does not </w:t>
      </w:r>
      <w:r w:rsidR="00CF3EAC">
        <w:rPr>
          <w:i/>
          <w:iCs/>
          <w:sz w:val="24"/>
          <w:szCs w:val="24"/>
        </w:rPr>
        <w:t xml:space="preserve">include all possible actions that could or should be taken in </w:t>
      </w:r>
      <w:r w:rsidR="0087459F">
        <w:rPr>
          <w:i/>
          <w:iCs/>
          <w:sz w:val="24"/>
          <w:szCs w:val="24"/>
        </w:rPr>
        <w:t xml:space="preserve">the specific </w:t>
      </w:r>
      <w:r w:rsidR="005D795A">
        <w:rPr>
          <w:i/>
          <w:iCs/>
          <w:sz w:val="24"/>
          <w:szCs w:val="24"/>
        </w:rPr>
        <w:t xml:space="preserve">context </w:t>
      </w:r>
      <w:r w:rsidR="0087459F">
        <w:rPr>
          <w:i/>
          <w:iCs/>
          <w:sz w:val="24"/>
          <w:szCs w:val="24"/>
        </w:rPr>
        <w:t xml:space="preserve">of </w:t>
      </w:r>
      <w:r w:rsidR="00B228C8">
        <w:rPr>
          <w:i/>
          <w:iCs/>
          <w:sz w:val="24"/>
          <w:szCs w:val="24"/>
        </w:rPr>
        <w:t xml:space="preserve">the trust as schools will </w:t>
      </w:r>
      <w:r w:rsidR="00A40DB7">
        <w:rPr>
          <w:i/>
          <w:iCs/>
          <w:sz w:val="24"/>
          <w:szCs w:val="24"/>
        </w:rPr>
        <w:t>personalise accordingly</w:t>
      </w:r>
      <w:r w:rsidR="0087459F">
        <w:rPr>
          <w:i/>
          <w:iCs/>
          <w:sz w:val="24"/>
          <w:szCs w:val="24"/>
        </w:rPr>
        <w:t xml:space="preserve">. </w:t>
      </w:r>
      <w:r w:rsidR="002F5523">
        <w:rPr>
          <w:i/>
          <w:iCs/>
          <w:sz w:val="24"/>
          <w:szCs w:val="24"/>
        </w:rPr>
        <w:t>It is intended to be a strategic framework to guide decision-making</w:t>
      </w:r>
      <w:r w:rsidR="00C61A03">
        <w:rPr>
          <w:i/>
          <w:iCs/>
          <w:sz w:val="24"/>
          <w:szCs w:val="24"/>
        </w:rPr>
        <w:t xml:space="preserve">. </w:t>
      </w:r>
    </w:p>
    <w:p w14:paraId="044FCDFB" w14:textId="05195410" w:rsidR="007C5451" w:rsidRDefault="002A77CE" w:rsidP="00113E13">
      <w:pPr>
        <w:spacing w:before="120" w:after="120"/>
        <w:rPr>
          <w:i/>
          <w:iCs/>
          <w:sz w:val="24"/>
          <w:szCs w:val="24"/>
        </w:rPr>
      </w:pPr>
      <w:r>
        <w:rPr>
          <w:i/>
          <w:iCs/>
          <w:sz w:val="24"/>
          <w:szCs w:val="24"/>
        </w:rPr>
        <w:t>All schools in the trust follow</w:t>
      </w:r>
      <w:r w:rsidR="00A81BAD" w:rsidRPr="00A81BAD">
        <w:rPr>
          <w:i/>
          <w:iCs/>
          <w:sz w:val="24"/>
          <w:szCs w:val="24"/>
        </w:rPr>
        <w:t xml:space="preserve"> the </w:t>
      </w:r>
      <w:r w:rsidR="00A81BAD" w:rsidRPr="00D15C5E">
        <w:rPr>
          <w:b/>
          <w:bCs/>
          <w:i/>
          <w:iCs/>
          <w:sz w:val="24"/>
          <w:szCs w:val="24"/>
        </w:rPr>
        <w:t>system of controls</w:t>
      </w:r>
      <w:r w:rsidR="00A81BAD">
        <w:rPr>
          <w:i/>
          <w:iCs/>
          <w:sz w:val="24"/>
          <w:szCs w:val="24"/>
        </w:rPr>
        <w:t xml:space="preserve"> </w:t>
      </w:r>
      <w:r w:rsidR="00D1001F">
        <w:rPr>
          <w:i/>
          <w:iCs/>
          <w:sz w:val="24"/>
          <w:szCs w:val="24"/>
        </w:rPr>
        <w:t xml:space="preserve">in </w:t>
      </w:r>
      <w:hyperlink r:id="rId9" w:history="1">
        <w:r w:rsidR="00D1001F" w:rsidRPr="00113E13">
          <w:rPr>
            <w:rStyle w:val="Hyperlink"/>
            <w:rFonts w:eastAsia="Times New Roman" w:cstheme="minorHAnsi"/>
            <w:sz w:val="24"/>
            <w:szCs w:val="24"/>
          </w:rPr>
          <w:t>Schools Covid-19 operational guidance</w:t>
        </w:r>
      </w:hyperlink>
      <w:r w:rsidR="00F80815">
        <w:rPr>
          <w:i/>
          <w:iCs/>
          <w:sz w:val="24"/>
          <w:szCs w:val="24"/>
        </w:rPr>
        <w:t xml:space="preserve"> (summarised at annex A) </w:t>
      </w:r>
      <w:r>
        <w:rPr>
          <w:i/>
          <w:iCs/>
          <w:sz w:val="24"/>
          <w:szCs w:val="24"/>
        </w:rPr>
        <w:t xml:space="preserve">to </w:t>
      </w:r>
      <w:r w:rsidR="00A81BAD" w:rsidRPr="00A81BAD">
        <w:rPr>
          <w:i/>
          <w:iCs/>
          <w:sz w:val="24"/>
          <w:szCs w:val="24"/>
        </w:rPr>
        <w:t>effectively reduce risks</w:t>
      </w:r>
      <w:r w:rsidR="00C20A8C">
        <w:rPr>
          <w:i/>
          <w:iCs/>
          <w:sz w:val="24"/>
          <w:szCs w:val="24"/>
        </w:rPr>
        <w:t xml:space="preserve"> </w:t>
      </w:r>
      <w:r w:rsidR="00A81BAD" w:rsidRPr="00A81BAD">
        <w:rPr>
          <w:i/>
          <w:iCs/>
          <w:sz w:val="24"/>
          <w:szCs w:val="24"/>
        </w:rPr>
        <w:t>and create an inherently safer environment.</w:t>
      </w:r>
    </w:p>
    <w:p w14:paraId="63959A93" w14:textId="77777777" w:rsidR="004B2E6D" w:rsidRPr="004B2E6D" w:rsidRDefault="004B2E6D" w:rsidP="00176E71">
      <w:pPr>
        <w:rPr>
          <w:b/>
          <w:bCs/>
          <w:sz w:val="2"/>
          <w:szCs w:val="2"/>
        </w:rPr>
      </w:pPr>
    </w:p>
    <w:p w14:paraId="06768A43" w14:textId="3FFF3DF6" w:rsidR="004B2E6D" w:rsidRPr="005866AE" w:rsidRDefault="00926CF6">
      <w:pPr>
        <w:rPr>
          <w:b/>
          <w:bCs/>
          <w:sz w:val="24"/>
          <w:szCs w:val="24"/>
        </w:rPr>
      </w:pPr>
      <w:r w:rsidRPr="005866AE">
        <w:rPr>
          <w:b/>
          <w:bCs/>
          <w:sz w:val="24"/>
          <w:szCs w:val="24"/>
        </w:rPr>
        <w:t xml:space="preserve">Decision making framework </w:t>
      </w:r>
      <w:r w:rsidR="00841CB7" w:rsidRPr="005866AE">
        <w:rPr>
          <w:b/>
          <w:bCs/>
          <w:sz w:val="24"/>
          <w:szCs w:val="24"/>
        </w:rPr>
        <w:t xml:space="preserve">and updated risk assessments </w:t>
      </w:r>
      <w:r w:rsidRPr="005866AE">
        <w:rPr>
          <w:b/>
          <w:bCs/>
          <w:sz w:val="24"/>
          <w:szCs w:val="24"/>
        </w:rPr>
        <w:t xml:space="preserve">to be returned to Deborah Temperton by 9am </w:t>
      </w:r>
      <w:r w:rsidR="00841CB7" w:rsidRPr="005866AE">
        <w:rPr>
          <w:b/>
          <w:bCs/>
          <w:sz w:val="24"/>
          <w:szCs w:val="24"/>
        </w:rPr>
        <w:t>Friday March 5</w:t>
      </w:r>
      <w:r w:rsidR="00841CB7" w:rsidRPr="005866AE">
        <w:rPr>
          <w:b/>
          <w:bCs/>
          <w:sz w:val="24"/>
          <w:szCs w:val="24"/>
          <w:vertAlign w:val="superscript"/>
        </w:rPr>
        <w:t>th</w:t>
      </w:r>
      <w:r w:rsidR="00841CB7" w:rsidRPr="005866AE">
        <w:rPr>
          <w:b/>
          <w:bCs/>
          <w:sz w:val="24"/>
          <w:szCs w:val="24"/>
        </w:rPr>
        <w:t xml:space="preserve"> 2021</w:t>
      </w:r>
      <w:r w:rsidR="004B2E6D" w:rsidRPr="005866AE">
        <w:rPr>
          <w:b/>
          <w:bCs/>
          <w:sz w:val="24"/>
          <w:szCs w:val="24"/>
        </w:rPr>
        <w:br w:type="page"/>
      </w:r>
    </w:p>
    <w:p w14:paraId="11C28FD5" w14:textId="4C76D92E" w:rsidR="00176E71" w:rsidRPr="0081348E" w:rsidRDefault="00FA6C50" w:rsidP="00176E71">
      <w:pPr>
        <w:rPr>
          <w:b/>
          <w:bCs/>
          <w:sz w:val="28"/>
          <w:szCs w:val="28"/>
        </w:rPr>
      </w:pPr>
      <w:r>
        <w:rPr>
          <w:b/>
          <w:bCs/>
          <w:sz w:val="28"/>
          <w:szCs w:val="28"/>
        </w:rPr>
        <w:lastRenderedPageBreak/>
        <w:t>Decisions and a</w:t>
      </w:r>
      <w:r w:rsidR="00176E71">
        <w:rPr>
          <w:b/>
          <w:bCs/>
          <w:sz w:val="28"/>
          <w:szCs w:val="28"/>
        </w:rPr>
        <w:t>ctions to</w:t>
      </w:r>
      <w:r w:rsidR="00714B5F">
        <w:rPr>
          <w:b/>
          <w:bCs/>
          <w:sz w:val="28"/>
          <w:szCs w:val="28"/>
        </w:rPr>
        <w:t xml:space="preserve"> take before opening </w:t>
      </w:r>
      <w:r w:rsidR="004A6695">
        <w:rPr>
          <w:b/>
          <w:bCs/>
          <w:sz w:val="28"/>
          <w:szCs w:val="28"/>
        </w:rPr>
        <w:t>your</w:t>
      </w:r>
      <w:r w:rsidR="00714B5F">
        <w:rPr>
          <w:b/>
          <w:bCs/>
          <w:sz w:val="28"/>
          <w:szCs w:val="28"/>
        </w:rPr>
        <w:t xml:space="preserve"> schools </w:t>
      </w:r>
      <w:r w:rsidR="004A6695">
        <w:rPr>
          <w:b/>
          <w:bCs/>
          <w:sz w:val="28"/>
          <w:szCs w:val="28"/>
        </w:rPr>
        <w:t>for all pupils from 8</w:t>
      </w:r>
      <w:r w:rsidR="004A6695" w:rsidRPr="004A6695">
        <w:rPr>
          <w:b/>
          <w:bCs/>
          <w:sz w:val="28"/>
          <w:szCs w:val="28"/>
          <w:vertAlign w:val="superscript"/>
        </w:rPr>
        <w:t>th</w:t>
      </w:r>
      <w:r w:rsidR="004A6695">
        <w:rPr>
          <w:b/>
          <w:bCs/>
          <w:sz w:val="28"/>
          <w:szCs w:val="28"/>
        </w:rPr>
        <w:t xml:space="preserve"> March 2021</w:t>
      </w:r>
    </w:p>
    <w:tbl>
      <w:tblPr>
        <w:tblStyle w:val="TableGrid"/>
        <w:tblW w:w="14029" w:type="dxa"/>
        <w:tblLook w:val="04A0" w:firstRow="1" w:lastRow="0" w:firstColumn="1" w:lastColumn="0" w:noHBand="0" w:noVBand="1"/>
      </w:tblPr>
      <w:tblGrid>
        <w:gridCol w:w="2547"/>
        <w:gridCol w:w="11482"/>
      </w:tblGrid>
      <w:tr w:rsidR="00590B1E" w14:paraId="5FDA2EFD" w14:textId="77777777" w:rsidTr="004B2E6D">
        <w:tc>
          <w:tcPr>
            <w:tcW w:w="2547" w:type="dxa"/>
            <w:shd w:val="clear" w:color="auto" w:fill="F2F2F2" w:themeFill="background1" w:themeFillShade="F2"/>
          </w:tcPr>
          <w:p w14:paraId="5284DB6D" w14:textId="589145BD" w:rsidR="00590B1E" w:rsidRDefault="00590B1E" w:rsidP="00C5602D">
            <w:pPr>
              <w:spacing w:before="60" w:after="60"/>
            </w:pPr>
            <w:r w:rsidRPr="00C5602D">
              <w:rPr>
                <w:b/>
                <w:bCs/>
              </w:rPr>
              <w:t>Health and safety</w:t>
            </w:r>
          </w:p>
        </w:tc>
        <w:tc>
          <w:tcPr>
            <w:tcW w:w="11482" w:type="dxa"/>
          </w:tcPr>
          <w:p w14:paraId="6C185026" w14:textId="77777777" w:rsidR="00B447A5" w:rsidRDefault="00A80051" w:rsidP="00BD4B70">
            <w:pPr>
              <w:pStyle w:val="ListParagraph"/>
              <w:numPr>
                <w:ilvl w:val="0"/>
                <w:numId w:val="1"/>
              </w:numPr>
              <w:spacing w:before="60" w:after="60"/>
              <w:ind w:left="714" w:hanging="357"/>
              <w:contextualSpacing w:val="0"/>
            </w:pPr>
            <w:r>
              <w:t>Review health and safety risk assessments</w:t>
            </w:r>
            <w:r w:rsidR="002870AC">
              <w:t xml:space="preserve"> </w:t>
            </w:r>
            <w:r w:rsidR="00364239">
              <w:t xml:space="preserve">ensuring these are based on </w:t>
            </w:r>
            <w:r w:rsidR="00E14B1B">
              <w:t xml:space="preserve">the </w:t>
            </w:r>
            <w:r w:rsidR="009A0F11">
              <w:t xml:space="preserve">Public Health </w:t>
            </w:r>
            <w:r w:rsidR="00E14B1B">
              <w:t xml:space="preserve">System of </w:t>
            </w:r>
            <w:proofErr w:type="gramStart"/>
            <w:r w:rsidR="00E14B1B">
              <w:t>Cont</w:t>
            </w:r>
            <w:r w:rsidR="009A0F11">
              <w:t xml:space="preserve">rols </w:t>
            </w:r>
            <w:r w:rsidR="00E14B1B">
              <w:t xml:space="preserve"> </w:t>
            </w:r>
            <w:r w:rsidR="009A0F11">
              <w:t>in</w:t>
            </w:r>
            <w:proofErr w:type="gramEnd"/>
            <w:r w:rsidR="009A0F11">
              <w:t xml:space="preserve"> the </w:t>
            </w:r>
            <w:hyperlink r:id="rId10" w:history="1">
              <w:proofErr w:type="spellStart"/>
              <w:r w:rsidR="009A0F11" w:rsidRPr="00F80815">
                <w:rPr>
                  <w:rStyle w:val="Hyperlink"/>
                </w:rPr>
                <w:t>DfE</w:t>
              </w:r>
              <w:proofErr w:type="spellEnd"/>
              <w:r w:rsidR="009A0F11" w:rsidRPr="00F80815">
                <w:rPr>
                  <w:rStyle w:val="Hyperlink"/>
                </w:rPr>
                <w:t xml:space="preserve"> guidance</w:t>
              </w:r>
            </w:hyperlink>
            <w:r w:rsidR="009A0F11">
              <w:t xml:space="preserve"> summarised in </w:t>
            </w:r>
            <w:r w:rsidR="009A0F11" w:rsidRPr="00D8762A">
              <w:rPr>
                <w:b/>
                <w:bCs/>
              </w:rPr>
              <w:t>annex A</w:t>
            </w:r>
            <w:r w:rsidR="009A0F11">
              <w:t xml:space="preserve"> </w:t>
            </w:r>
            <w:r w:rsidR="00E53315">
              <w:t>below</w:t>
            </w:r>
            <w:r w:rsidR="009A0F11">
              <w:t>.</w:t>
            </w:r>
            <w:r w:rsidR="00B10138">
              <w:t xml:space="preserve"> </w:t>
            </w:r>
          </w:p>
          <w:p w14:paraId="549F7E2F" w14:textId="77777777" w:rsidR="00B447A5" w:rsidRDefault="007A7D78" w:rsidP="00B447A5">
            <w:pPr>
              <w:pStyle w:val="ListParagraph"/>
              <w:spacing w:before="60" w:after="60"/>
              <w:ind w:left="714"/>
              <w:contextualSpacing w:val="0"/>
              <w:rPr>
                <w:b/>
                <w:bCs/>
              </w:rPr>
            </w:pPr>
            <w:proofErr w:type="spellStart"/>
            <w:r w:rsidRPr="002C1BF2">
              <w:rPr>
                <w:b/>
                <w:bCs/>
              </w:rPr>
              <w:t>ProAktive</w:t>
            </w:r>
            <w:proofErr w:type="spellEnd"/>
            <w:r w:rsidRPr="002C1BF2">
              <w:rPr>
                <w:b/>
                <w:bCs/>
              </w:rPr>
              <w:t xml:space="preserve"> has updated risk assessments accordingly and these are published </w:t>
            </w:r>
            <w:r w:rsidR="00B447A5" w:rsidRPr="002C1BF2">
              <w:rPr>
                <w:b/>
                <w:bCs/>
              </w:rPr>
              <w:t>on trust and school websites.</w:t>
            </w:r>
          </w:p>
          <w:p w14:paraId="3E0742BD" w14:textId="7167C40F" w:rsidR="00D67975" w:rsidRPr="00D67975" w:rsidRDefault="00D67975" w:rsidP="00B447A5">
            <w:pPr>
              <w:pStyle w:val="ListParagraph"/>
              <w:spacing w:before="60" w:after="60"/>
              <w:ind w:left="714"/>
              <w:contextualSpacing w:val="0"/>
              <w:rPr>
                <w:bCs/>
                <w:color w:val="FF0000"/>
              </w:rPr>
            </w:pPr>
            <w:proofErr w:type="spellStart"/>
            <w:r w:rsidRPr="00D67975">
              <w:rPr>
                <w:bCs/>
                <w:color w:val="FF0000"/>
              </w:rPr>
              <w:t>Versison</w:t>
            </w:r>
            <w:proofErr w:type="spellEnd"/>
            <w:r w:rsidRPr="00D67975">
              <w:rPr>
                <w:bCs/>
                <w:color w:val="FF0000"/>
              </w:rPr>
              <w:t xml:space="preserve"> 6 of RA on website and issued to staff – 1/3/20</w:t>
            </w:r>
            <w:r>
              <w:rPr>
                <w:bCs/>
                <w:color w:val="FF0000"/>
              </w:rPr>
              <w:t>.</w:t>
            </w:r>
          </w:p>
          <w:p w14:paraId="331D6F71" w14:textId="32DFF3FA" w:rsidR="002C2E6D" w:rsidRDefault="002C2E6D" w:rsidP="00B447A5">
            <w:pPr>
              <w:pStyle w:val="ListParagraph"/>
              <w:spacing w:before="60" w:after="60"/>
              <w:ind w:left="714"/>
              <w:contextualSpacing w:val="0"/>
              <w:rPr>
                <w:rStyle w:val="Hyperlink"/>
              </w:rPr>
            </w:pPr>
            <w:r>
              <w:t>Ensure consultation has taken place with all staff and their representatives in line with</w:t>
            </w:r>
            <w:r w:rsidR="00E26224">
              <w:t xml:space="preserve"> </w:t>
            </w:r>
            <w:hyperlink r:id="rId11" w:history="1">
              <w:r w:rsidRPr="00223C0D">
                <w:rPr>
                  <w:rStyle w:val="Hyperlink"/>
                </w:rPr>
                <w:t>HSE requirements</w:t>
              </w:r>
            </w:hyperlink>
          </w:p>
          <w:p w14:paraId="7288D703" w14:textId="212D3955" w:rsidR="00D67975" w:rsidRPr="00D67975" w:rsidRDefault="00D67975" w:rsidP="00B447A5">
            <w:pPr>
              <w:pStyle w:val="ListParagraph"/>
              <w:spacing w:before="60" w:after="60"/>
              <w:ind w:left="714"/>
              <w:contextualSpacing w:val="0"/>
              <w:rPr>
                <w:color w:val="FF0000"/>
              </w:rPr>
            </w:pPr>
            <w:r>
              <w:rPr>
                <w:color w:val="FF0000"/>
              </w:rPr>
              <w:t>Staff consulted/personal RAs updated where necessary.</w:t>
            </w:r>
          </w:p>
          <w:p w14:paraId="3D54CE3E" w14:textId="597D28C0" w:rsidR="007F37AE" w:rsidRPr="00DC301C" w:rsidRDefault="000B1C62" w:rsidP="00DC301C">
            <w:pPr>
              <w:pStyle w:val="ListParagraph"/>
              <w:numPr>
                <w:ilvl w:val="0"/>
                <w:numId w:val="1"/>
              </w:numPr>
              <w:ind w:left="714" w:hanging="357"/>
              <w:contextualSpacing w:val="0"/>
              <w:rPr>
                <w:rFonts w:cstheme="minorHAnsi"/>
                <w:color w:val="0B0C0C"/>
              </w:rPr>
            </w:pPr>
            <w:r>
              <w:t xml:space="preserve">Ensure </w:t>
            </w:r>
            <w:r w:rsidR="00590B1E">
              <w:t>statutory site checks</w:t>
            </w:r>
            <w:r>
              <w:t xml:space="preserve"> are carried out</w:t>
            </w:r>
            <w:r w:rsidR="00590B1E">
              <w:t>, if requi</w:t>
            </w:r>
            <w:r w:rsidR="005C0825">
              <w:t xml:space="preserve">red including </w:t>
            </w:r>
            <w:r w:rsidR="00DF092D">
              <w:t>site checks from central team staff.</w:t>
            </w:r>
          </w:p>
          <w:p w14:paraId="3B5926D1" w14:textId="06D5762C" w:rsidR="00985074" w:rsidRPr="00D67975" w:rsidRDefault="00590B1E" w:rsidP="00985074">
            <w:pPr>
              <w:pStyle w:val="ListParagraph"/>
              <w:numPr>
                <w:ilvl w:val="0"/>
                <w:numId w:val="1"/>
              </w:numPr>
              <w:spacing w:before="60" w:after="60"/>
              <w:ind w:left="714" w:hanging="357"/>
              <w:contextualSpacing w:val="0"/>
              <w:rPr>
                <w:rStyle w:val="Hyperlink"/>
                <w:color w:val="auto"/>
                <w:u w:val="none"/>
              </w:rPr>
            </w:pPr>
            <w:r>
              <w:t>Commission cleaning of all sites</w:t>
            </w:r>
            <w:r w:rsidR="00EB4491">
              <w:t xml:space="preserve"> using </w:t>
            </w:r>
            <w:hyperlink r:id="rId12" w:history="1">
              <w:r w:rsidR="00EB4491" w:rsidRPr="00E65D3A">
                <w:rPr>
                  <w:rStyle w:val="Hyperlink"/>
                </w:rPr>
                <w:t>guidance on cleaning non-</w:t>
              </w:r>
              <w:r w:rsidR="00E65D3A" w:rsidRPr="00E65D3A">
                <w:rPr>
                  <w:rStyle w:val="Hyperlink"/>
                </w:rPr>
                <w:t>health care settings</w:t>
              </w:r>
            </w:hyperlink>
            <w:r w:rsidR="00D539AB">
              <w:rPr>
                <w:rStyle w:val="Hyperlink"/>
              </w:rPr>
              <w:t>.</w:t>
            </w:r>
          </w:p>
          <w:p w14:paraId="61D51818" w14:textId="470A4E39" w:rsidR="00D67975" w:rsidRPr="00D67975" w:rsidRDefault="00D67975" w:rsidP="00D67975">
            <w:pPr>
              <w:pStyle w:val="ListParagraph"/>
              <w:spacing w:before="60" w:after="60"/>
              <w:ind w:left="714"/>
              <w:contextualSpacing w:val="0"/>
              <w:rPr>
                <w:color w:val="FF0000"/>
              </w:rPr>
            </w:pPr>
            <w:r>
              <w:rPr>
                <w:color w:val="FF0000"/>
              </w:rPr>
              <w:t>Additional cleaning at lunchtimes of toilets, classrooms used for lunch, high use areas.</w:t>
            </w:r>
          </w:p>
          <w:p w14:paraId="06786003" w14:textId="4C2D230B" w:rsidR="00B724F5" w:rsidRDefault="00985074" w:rsidP="00E118AD">
            <w:pPr>
              <w:pStyle w:val="ListParagraph"/>
              <w:numPr>
                <w:ilvl w:val="0"/>
                <w:numId w:val="1"/>
              </w:numPr>
              <w:spacing w:before="60" w:after="60"/>
              <w:ind w:left="714" w:hanging="357"/>
              <w:contextualSpacing w:val="0"/>
            </w:pPr>
            <w:r w:rsidRPr="00B36E9F">
              <w:rPr>
                <w:rFonts w:cstheme="minorHAnsi"/>
                <w:color w:val="0B0C0C"/>
              </w:rPr>
              <w:t xml:space="preserve">Review arrangements to ensure good ventilation. Advice on this can be found in Health and Safety Executive guidance on </w:t>
            </w:r>
            <w:hyperlink r:id="rId13" w:history="1">
              <w:r w:rsidRPr="00B36E9F">
                <w:rPr>
                  <w:rStyle w:val="Hyperlink"/>
                  <w:rFonts w:cstheme="minorHAnsi"/>
                  <w:color w:val="1D70B8"/>
                  <w:bdr w:val="none" w:sz="0" w:space="0" w:color="auto" w:frame="1"/>
                </w:rPr>
                <w:t>air conditioning and ventilation during the coronavirus outbreak</w:t>
              </w:r>
            </w:hyperlink>
            <w:r w:rsidR="00B724F5" w:rsidRPr="00B36E9F">
              <w:rPr>
                <w:rStyle w:val="Hyperlink"/>
                <w:rFonts w:cstheme="minorHAnsi"/>
                <w:color w:val="1D70B8"/>
                <w:bdr w:val="none" w:sz="0" w:space="0" w:color="auto" w:frame="1"/>
              </w:rPr>
              <w:t>.</w:t>
            </w:r>
            <w:r w:rsidR="00B36E9F">
              <w:rPr>
                <w:rStyle w:val="Hyperlink"/>
                <w:rFonts w:cstheme="minorHAnsi"/>
                <w:color w:val="1D70B8"/>
                <w:bdr w:val="none" w:sz="0" w:space="0" w:color="auto" w:frame="1"/>
              </w:rPr>
              <w:t xml:space="preserve"> </w:t>
            </w:r>
            <w:r w:rsidR="00B724F5">
              <w:t xml:space="preserve">Refer to the </w:t>
            </w:r>
            <w:hyperlink r:id="rId14" w:history="1">
              <w:r w:rsidR="00B724F5" w:rsidRPr="00B36E9F">
                <w:rPr>
                  <w:rStyle w:val="Hyperlink"/>
                </w:rPr>
                <w:t>system of controls</w:t>
              </w:r>
            </w:hyperlink>
            <w:r w:rsidR="00B724F5">
              <w:t xml:space="preserve"> for guidance on keeping occupied spaces well ventilated</w:t>
            </w:r>
            <w:r w:rsidR="00B36E9F">
              <w:t>.</w:t>
            </w:r>
          </w:p>
          <w:p w14:paraId="34D96E1C" w14:textId="1461E8FD" w:rsidR="00D67975" w:rsidRPr="00D67975" w:rsidRDefault="00D67975" w:rsidP="00D67975">
            <w:pPr>
              <w:pStyle w:val="ListParagraph"/>
              <w:spacing w:before="60" w:after="60"/>
              <w:ind w:left="714"/>
              <w:contextualSpacing w:val="0"/>
              <w:rPr>
                <w:color w:val="FF0000"/>
              </w:rPr>
            </w:pPr>
            <w:r>
              <w:rPr>
                <w:rFonts w:cstheme="minorHAnsi"/>
                <w:color w:val="FF0000"/>
              </w:rPr>
              <w:t>Windows open in all rooms.</w:t>
            </w:r>
          </w:p>
          <w:p w14:paraId="28CADDAE" w14:textId="7A78DC38" w:rsidR="00590B1E" w:rsidRDefault="00590B1E" w:rsidP="00BD4B70">
            <w:pPr>
              <w:pStyle w:val="ListParagraph"/>
              <w:numPr>
                <w:ilvl w:val="0"/>
                <w:numId w:val="1"/>
              </w:numPr>
              <w:spacing w:before="60" w:after="60"/>
              <w:ind w:left="714" w:hanging="357"/>
              <w:contextualSpacing w:val="0"/>
            </w:pPr>
            <w:r>
              <w:t xml:space="preserve">Agree a policy and procedures </w:t>
            </w:r>
            <w:r w:rsidRPr="004C4AB3">
              <w:t xml:space="preserve">should </w:t>
            </w:r>
            <w:r>
              <w:t>a child or adult</w:t>
            </w:r>
            <w:r w:rsidRPr="004C4AB3">
              <w:t xml:space="preserve"> fall ill </w:t>
            </w:r>
            <w:r w:rsidR="00202E59">
              <w:t xml:space="preserve">with the coronavirus </w:t>
            </w:r>
            <w:r w:rsidRPr="004C4AB3">
              <w:t>on site</w:t>
            </w:r>
            <w:r>
              <w:t xml:space="preserve">, </w:t>
            </w:r>
            <w:r w:rsidRPr="004C4AB3">
              <w:t>fall ill having recently been on site</w:t>
            </w:r>
            <w:r>
              <w:t xml:space="preserve"> and/or if a number of people fall ill related to a particular site</w:t>
            </w:r>
            <w:r w:rsidR="00461B54">
              <w:t xml:space="preserve"> (</w:t>
            </w:r>
            <w:r w:rsidR="009440E5">
              <w:t xml:space="preserve">use </w:t>
            </w:r>
            <w:proofErr w:type="spellStart"/>
            <w:r w:rsidR="00461B54">
              <w:t>DfE</w:t>
            </w:r>
            <w:proofErr w:type="spellEnd"/>
            <w:r w:rsidR="00461B54">
              <w:t xml:space="preserve"> guidance </w:t>
            </w:r>
            <w:r w:rsidR="009440E5">
              <w:t xml:space="preserve">on </w:t>
            </w:r>
            <w:r w:rsidR="00202E59">
              <w:t xml:space="preserve">the </w:t>
            </w:r>
            <w:hyperlink r:id="rId15" w:history="1">
              <w:r w:rsidR="009440E5" w:rsidRPr="00B57BED">
                <w:rPr>
                  <w:rStyle w:val="Hyperlink"/>
                </w:rPr>
                <w:t>system of controls</w:t>
              </w:r>
            </w:hyperlink>
            <w:r w:rsidR="00461B54">
              <w:t>)</w:t>
            </w:r>
          </w:p>
          <w:p w14:paraId="0B33E9F6" w14:textId="4DC7515A" w:rsidR="00D67975" w:rsidRPr="00D67975" w:rsidRDefault="00D67975" w:rsidP="00D67975">
            <w:pPr>
              <w:pStyle w:val="ListParagraph"/>
              <w:spacing w:before="60" w:after="60"/>
              <w:ind w:left="714"/>
              <w:contextualSpacing w:val="0"/>
              <w:rPr>
                <w:color w:val="FF0000"/>
              </w:rPr>
            </w:pPr>
            <w:r>
              <w:rPr>
                <w:color w:val="FF0000"/>
              </w:rPr>
              <w:t>There is a designated isolation room with full PPE near the main entrance.</w:t>
            </w:r>
          </w:p>
          <w:p w14:paraId="01450C24" w14:textId="05C80571" w:rsidR="00590B1E" w:rsidRDefault="00590B1E" w:rsidP="00F06529">
            <w:pPr>
              <w:pStyle w:val="ListParagraph"/>
              <w:numPr>
                <w:ilvl w:val="0"/>
                <w:numId w:val="1"/>
              </w:numPr>
              <w:spacing w:before="60" w:after="60"/>
              <w:ind w:left="714" w:hanging="357"/>
              <w:contextualSpacing w:val="0"/>
            </w:pPr>
            <w:r w:rsidRPr="00B4005E">
              <w:t>Ensure there is a critical path decision making process</w:t>
            </w:r>
            <w:r w:rsidR="004B4D38">
              <w:t>/ contingency plan</w:t>
            </w:r>
            <w:r w:rsidRPr="00B4005E">
              <w:t xml:space="preserve"> in case of </w:t>
            </w:r>
            <w:r w:rsidR="00B57BED">
              <w:t xml:space="preserve">a local outbreak. </w:t>
            </w:r>
          </w:p>
          <w:p w14:paraId="4DE2CAA6" w14:textId="4B6C8DE0" w:rsidR="00D96DD1" w:rsidRDefault="00D96DD1" w:rsidP="00120E53">
            <w:pPr>
              <w:spacing w:before="60" w:after="60"/>
            </w:pPr>
          </w:p>
        </w:tc>
      </w:tr>
      <w:tr w:rsidR="00590B1E" w14:paraId="49E385C8" w14:textId="77777777" w:rsidTr="004B2E6D">
        <w:tc>
          <w:tcPr>
            <w:tcW w:w="2547" w:type="dxa"/>
            <w:shd w:val="clear" w:color="auto" w:fill="F2F2F2" w:themeFill="background1" w:themeFillShade="F2"/>
          </w:tcPr>
          <w:p w14:paraId="4B3168BA" w14:textId="331EE57E" w:rsidR="00590B1E" w:rsidRPr="00C5602D" w:rsidRDefault="00590B1E" w:rsidP="00C5602D">
            <w:pPr>
              <w:spacing w:before="60" w:after="60"/>
              <w:rPr>
                <w:b/>
                <w:bCs/>
              </w:rPr>
            </w:pPr>
            <w:r w:rsidRPr="00BD4B70">
              <w:rPr>
                <w:b/>
                <w:bCs/>
              </w:rPr>
              <w:t>Pupils and parents</w:t>
            </w:r>
          </w:p>
        </w:tc>
        <w:tc>
          <w:tcPr>
            <w:tcW w:w="11482" w:type="dxa"/>
          </w:tcPr>
          <w:p w14:paraId="1FC5C800" w14:textId="346AAD19" w:rsidR="00590B1E" w:rsidRDefault="00590B1E" w:rsidP="00D62373">
            <w:pPr>
              <w:pStyle w:val="ListParagraph"/>
              <w:numPr>
                <w:ilvl w:val="0"/>
                <w:numId w:val="2"/>
              </w:numPr>
              <w:spacing w:before="60" w:after="60"/>
            </w:pPr>
            <w:r>
              <w:t xml:space="preserve">Assess parental confidence </w:t>
            </w:r>
            <w:r w:rsidR="00D62373">
              <w:t xml:space="preserve">and ensure processes are in place to communicate clear and consistent expectations around school attendance to families ahead of </w:t>
            </w:r>
            <w:r w:rsidR="00B57BED">
              <w:t>8</w:t>
            </w:r>
            <w:r w:rsidR="00B57BED" w:rsidRPr="00B57BED">
              <w:rPr>
                <w:vertAlign w:val="superscript"/>
              </w:rPr>
              <w:t>th</w:t>
            </w:r>
            <w:r w:rsidR="00B57BED">
              <w:t xml:space="preserve"> March 2021.</w:t>
            </w:r>
          </w:p>
          <w:p w14:paraId="6D636B99" w14:textId="0F060A54" w:rsidR="0065042B" w:rsidRDefault="00BA5000" w:rsidP="0065042B">
            <w:pPr>
              <w:pStyle w:val="ListParagraph"/>
              <w:numPr>
                <w:ilvl w:val="0"/>
                <w:numId w:val="2"/>
              </w:numPr>
              <w:spacing w:before="60" w:after="60"/>
              <w:ind w:left="714" w:hanging="357"/>
              <w:contextualSpacing w:val="0"/>
            </w:pPr>
            <w:r>
              <w:t xml:space="preserve">Ensure </w:t>
            </w:r>
            <w:r w:rsidR="0065042B">
              <w:t>appropriate support and arrangements</w:t>
            </w:r>
            <w:r>
              <w:t xml:space="preserve"> are in place for p</w:t>
            </w:r>
            <w:r w:rsidR="00590B1E">
              <w:t>upils with EHC plans</w:t>
            </w:r>
            <w:r w:rsidR="00B57BED">
              <w:t>.</w:t>
            </w:r>
          </w:p>
          <w:p w14:paraId="1596E3DB" w14:textId="7B7F6A46" w:rsidR="006A790F" w:rsidRDefault="006A790F" w:rsidP="006A790F">
            <w:pPr>
              <w:pStyle w:val="ListParagraph"/>
              <w:numPr>
                <w:ilvl w:val="0"/>
                <w:numId w:val="2"/>
              </w:numPr>
            </w:pPr>
            <w:r w:rsidRPr="006A790F">
              <w:t>Ensure that pupils most at risk of disengagement/most in need of additional support are identified and support is in place</w:t>
            </w:r>
            <w:r w:rsidR="00B57BED">
              <w:t>.</w:t>
            </w:r>
          </w:p>
          <w:p w14:paraId="07CDFEFD" w14:textId="77777777" w:rsidR="00BC3EC5" w:rsidRPr="005866AE" w:rsidRDefault="00590B1E" w:rsidP="00BC3EC5">
            <w:pPr>
              <w:pStyle w:val="ListParagraph"/>
              <w:numPr>
                <w:ilvl w:val="0"/>
                <w:numId w:val="2"/>
              </w:numPr>
              <w:spacing w:before="60" w:after="60"/>
              <w:ind w:left="714" w:hanging="357"/>
              <w:contextualSpacing w:val="0"/>
              <w:rPr>
                <w:rStyle w:val="Hyperlink"/>
                <w:color w:val="auto"/>
                <w:u w:val="none"/>
              </w:rPr>
            </w:pPr>
            <w:r>
              <w:t xml:space="preserve">Audit wider family services supporting mental health, bereavement, domestic violence </w:t>
            </w:r>
            <w:proofErr w:type="spellStart"/>
            <w:r>
              <w:t>etc</w:t>
            </w:r>
            <w:proofErr w:type="spellEnd"/>
            <w:r>
              <w:t xml:space="preserve"> in order to be able to signpost/refer families where required</w:t>
            </w:r>
            <w:r w:rsidR="00CC7FAB">
              <w:t xml:space="preserve"> </w:t>
            </w:r>
            <w:r w:rsidR="00EF326F">
              <w:t>(</w:t>
            </w:r>
            <w:r w:rsidR="00EF326F" w:rsidRPr="00EF326F">
              <w:rPr>
                <w:rFonts w:eastAsia="Times New Roman" w:cstheme="minorHAnsi"/>
                <w:color w:val="0B0C0C"/>
                <w:lang w:eastAsia="en-GB"/>
              </w:rPr>
              <w:t xml:space="preserve">Public Health England has published </w:t>
            </w:r>
            <w:hyperlink r:id="rId16" w:history="1">
              <w:r w:rsidR="00EF326F" w:rsidRPr="00EF326F">
                <w:rPr>
                  <w:rFonts w:eastAsia="Times New Roman" w:cstheme="minorHAnsi"/>
                  <w:color w:val="1D70B8"/>
                  <w:u w:val="single"/>
                  <w:bdr w:val="none" w:sz="0" w:space="0" w:color="auto" w:frame="1"/>
                  <w:lang w:eastAsia="en-GB"/>
                </w:rPr>
                <w:t>guidance on supporting children and young people’s mental health</w:t>
              </w:r>
            </w:hyperlink>
            <w:r w:rsidR="007421D8">
              <w:rPr>
                <w:rFonts w:eastAsia="Times New Roman" w:cstheme="minorHAnsi"/>
                <w:color w:val="1D70B8"/>
                <w:u w:val="single"/>
                <w:bdr w:val="none" w:sz="0" w:space="0" w:color="auto" w:frame="1"/>
                <w:lang w:eastAsia="en-GB"/>
              </w:rPr>
              <w:t>,</w:t>
            </w:r>
            <w:r w:rsidR="000C3652" w:rsidRPr="000C3652">
              <w:rPr>
                <w:rFonts w:eastAsia="Times New Roman" w:cstheme="minorHAnsi"/>
                <w:color w:val="1D70B8"/>
                <w:bdr w:val="none" w:sz="0" w:space="0" w:color="auto" w:frame="1"/>
                <w:lang w:eastAsia="en-GB"/>
              </w:rPr>
              <w:t xml:space="preserve"> </w:t>
            </w:r>
            <w:hyperlink r:id="rId17" w:history="1">
              <w:r w:rsidR="00C916E8" w:rsidRPr="00E074E5">
                <w:rPr>
                  <w:rStyle w:val="Hyperlink"/>
                  <w:rFonts w:cstheme="minorHAnsi"/>
                </w:rPr>
                <w:t>Every Mind Matters</w:t>
              </w:r>
            </w:hyperlink>
            <w:r w:rsidR="00C916E8">
              <w:t xml:space="preserve"> and </w:t>
            </w:r>
            <w:hyperlink r:id="rId18" w:anchor="additional-advice-for-groups-with-specific-mental-health-needs" w:history="1">
              <w:r w:rsidR="00CC7FAB" w:rsidRPr="000C3652">
                <w:rPr>
                  <w:rStyle w:val="Hyperlink"/>
                  <w:rFonts w:cstheme="minorHAnsi"/>
                </w:rPr>
                <w:t xml:space="preserve">advice for </w:t>
              </w:r>
              <w:r w:rsidR="004C4358" w:rsidRPr="000C3652">
                <w:rPr>
                  <w:rStyle w:val="Hyperlink"/>
                  <w:rFonts w:cstheme="minorHAnsi"/>
                </w:rPr>
                <w:t>groups with specific mental health needs)</w:t>
              </w:r>
            </w:hyperlink>
            <w:r w:rsidR="00017C73">
              <w:rPr>
                <w:rStyle w:val="Hyperlink"/>
                <w:rFonts w:cstheme="minorHAnsi"/>
              </w:rPr>
              <w:t>.</w:t>
            </w:r>
          </w:p>
          <w:p w14:paraId="418B78DE" w14:textId="40BC030E" w:rsidR="005866AE" w:rsidRDefault="005866AE" w:rsidP="005866AE">
            <w:pPr>
              <w:pStyle w:val="ListParagraph"/>
              <w:spacing w:before="60" w:after="60"/>
              <w:ind w:left="714"/>
              <w:contextualSpacing w:val="0"/>
            </w:pPr>
          </w:p>
        </w:tc>
      </w:tr>
      <w:tr w:rsidR="00590B1E" w14:paraId="1018FA5D" w14:textId="77777777" w:rsidTr="004B2E6D">
        <w:tc>
          <w:tcPr>
            <w:tcW w:w="2547" w:type="dxa"/>
            <w:shd w:val="clear" w:color="auto" w:fill="F2F2F2" w:themeFill="background1" w:themeFillShade="F2"/>
          </w:tcPr>
          <w:p w14:paraId="504984D7" w14:textId="248BE0F7" w:rsidR="00590B1E" w:rsidRDefault="00590B1E" w:rsidP="00C5602D">
            <w:pPr>
              <w:spacing w:before="60" w:after="60"/>
            </w:pPr>
            <w:r w:rsidRPr="00C5602D">
              <w:rPr>
                <w:b/>
                <w:bCs/>
              </w:rPr>
              <w:lastRenderedPageBreak/>
              <w:t>Workforce and HR</w:t>
            </w:r>
          </w:p>
        </w:tc>
        <w:tc>
          <w:tcPr>
            <w:tcW w:w="11482" w:type="dxa"/>
          </w:tcPr>
          <w:p w14:paraId="58E33BBA" w14:textId="730D1935" w:rsidR="004301B0" w:rsidRDefault="00DB0EB9" w:rsidP="00710392">
            <w:pPr>
              <w:pStyle w:val="ListParagraph"/>
              <w:numPr>
                <w:ilvl w:val="0"/>
                <w:numId w:val="2"/>
              </w:numPr>
              <w:spacing w:before="60" w:after="60"/>
            </w:pPr>
            <w:r>
              <w:t xml:space="preserve">Review </w:t>
            </w:r>
            <w:r w:rsidR="0087217E">
              <w:t xml:space="preserve">workforce: </w:t>
            </w:r>
            <w:r w:rsidR="00710392">
              <w:t xml:space="preserve"> Some people</w:t>
            </w:r>
            <w:r w:rsidR="0087217E">
              <w:t xml:space="preserve"> </w:t>
            </w:r>
            <w:r w:rsidR="00710392">
              <w:t>will remain under the care of their doctor or specialist</w:t>
            </w:r>
            <w:r w:rsidR="0016142A">
              <w:t xml:space="preserve">, who are ‘extremely clinically vulnerable’ </w:t>
            </w:r>
            <w:r w:rsidR="00710392">
              <w:t xml:space="preserve">and may </w:t>
            </w:r>
            <w:r w:rsidR="00AE1D5D">
              <w:t xml:space="preserve">be </w:t>
            </w:r>
            <w:r w:rsidR="00710392">
              <w:t xml:space="preserve">advised not to return to </w:t>
            </w:r>
            <w:r w:rsidR="00017C73">
              <w:t>the workplace/ school</w:t>
            </w:r>
            <w:r w:rsidR="00710392">
              <w:t>. Assess how many staff remain in this much smaller group and the impact on the workforce</w:t>
            </w:r>
            <w:r w:rsidR="000F3978">
              <w:t xml:space="preserve">. </w:t>
            </w:r>
            <w:r w:rsidR="00155A45">
              <w:t xml:space="preserve">Guidance </w:t>
            </w:r>
            <w:r w:rsidR="00B747BE">
              <w:t xml:space="preserve">on shielding and protecting people who are extremely clinically vulnerable is </w:t>
            </w:r>
            <w:hyperlink r:id="rId19" w:history="1">
              <w:r w:rsidR="00B747BE" w:rsidRPr="00B747BE">
                <w:rPr>
                  <w:rStyle w:val="Hyperlink"/>
                </w:rPr>
                <w:t>here.</w:t>
              </w:r>
            </w:hyperlink>
          </w:p>
          <w:p w14:paraId="17F52DCF" w14:textId="5B308200" w:rsidR="00710392" w:rsidRDefault="00B747BE" w:rsidP="00477D66">
            <w:pPr>
              <w:pStyle w:val="ListParagraph"/>
              <w:numPr>
                <w:ilvl w:val="0"/>
                <w:numId w:val="2"/>
              </w:numPr>
              <w:spacing w:before="60" w:after="60"/>
            </w:pPr>
            <w:r>
              <w:t xml:space="preserve"> </w:t>
            </w:r>
            <w:r w:rsidR="004301B0">
              <w:t xml:space="preserve">You will need to follow the specific </w:t>
            </w:r>
            <w:hyperlink r:id="rId20" w:history="1">
              <w:r w:rsidR="004301B0" w:rsidRPr="0081630A">
                <w:rPr>
                  <w:rStyle w:val="Hyperlink"/>
                </w:rPr>
                <w:t>guidance for pregnant employees</w:t>
              </w:r>
            </w:hyperlink>
            <w:r w:rsidR="004301B0">
              <w:t xml:space="preserve"> because pregnant women are considered CV. In some cases pregnant women may also have other health conditions that mean they are considered CEV, where the advice for clinically extremely vulnerable staff will apply. </w:t>
            </w:r>
          </w:p>
          <w:p w14:paraId="5EFD2C19" w14:textId="31919A18" w:rsidR="00D67975" w:rsidRPr="00D67975" w:rsidRDefault="00D67975" w:rsidP="00D67975">
            <w:pPr>
              <w:pStyle w:val="ListParagraph"/>
              <w:spacing w:before="60" w:after="60"/>
              <w:rPr>
                <w:color w:val="FF0000"/>
              </w:rPr>
            </w:pPr>
            <w:r>
              <w:rPr>
                <w:color w:val="FF0000"/>
              </w:rPr>
              <w:t>One employee working remotely from 8/3/20</w:t>
            </w:r>
          </w:p>
          <w:p w14:paraId="5BEC8D33" w14:textId="6EE8F1D3" w:rsidR="00710392" w:rsidRDefault="00710392" w:rsidP="0097762E">
            <w:pPr>
              <w:pStyle w:val="ListParagraph"/>
              <w:numPr>
                <w:ilvl w:val="0"/>
                <w:numId w:val="2"/>
              </w:numPr>
              <w:spacing w:before="60" w:after="60"/>
            </w:pPr>
            <w:r>
              <w:t>Assess how many staff may be at increased risk due to protected characteristics and disparities in outcomes. Consider using an Equalities Impact Assessment</w:t>
            </w:r>
            <w:r w:rsidR="000179D2">
              <w:t>.</w:t>
            </w:r>
            <w:r w:rsidR="003E54B7">
              <w:t xml:space="preserve"> </w:t>
            </w:r>
          </w:p>
          <w:p w14:paraId="76E96815" w14:textId="1CFB79C1" w:rsidR="00590B1E" w:rsidRPr="00710392" w:rsidRDefault="00590B1E" w:rsidP="00710392">
            <w:pPr>
              <w:pStyle w:val="ListParagraph"/>
              <w:numPr>
                <w:ilvl w:val="0"/>
                <w:numId w:val="2"/>
              </w:numPr>
              <w:spacing w:before="60" w:after="60"/>
              <w:ind w:left="714" w:hanging="357"/>
              <w:contextualSpacing w:val="0"/>
              <w:rPr>
                <w:rFonts w:cstheme="minorHAnsi"/>
              </w:rPr>
            </w:pPr>
            <w:r>
              <w:t>Determine whether</w:t>
            </w:r>
            <w:r w:rsidR="004822D3">
              <w:t>/what</w:t>
            </w:r>
            <w:r>
              <w:t xml:space="preserve"> </w:t>
            </w:r>
            <w:r w:rsidR="00C72E9B">
              <w:t xml:space="preserve">staff </w:t>
            </w:r>
            <w:r w:rsidR="00710392">
              <w:t>training is</w:t>
            </w:r>
            <w:r w:rsidR="00934DF3">
              <w:t xml:space="preserve"> required prior to the full return of pupils in </w:t>
            </w:r>
            <w:r w:rsidR="0022739C">
              <w:t>March.</w:t>
            </w:r>
          </w:p>
          <w:p w14:paraId="3CFAF8C8" w14:textId="674630D4" w:rsidR="003E54B7" w:rsidRDefault="00590B1E" w:rsidP="00A53FCB">
            <w:pPr>
              <w:pStyle w:val="ListParagraph"/>
              <w:numPr>
                <w:ilvl w:val="0"/>
                <w:numId w:val="2"/>
              </w:numPr>
              <w:spacing w:before="60" w:after="60"/>
              <w:contextualSpacing w:val="0"/>
            </w:pPr>
            <w:r>
              <w:t>Consider what arrangements might be put in place for staff wellbeing</w:t>
            </w:r>
            <w:r w:rsidR="0022739C">
              <w:t>.</w:t>
            </w:r>
            <w:r w:rsidR="002F6D4A">
              <w:t xml:space="preserve"> All employers have a duty of care to their employees, and this extends to their mental health. </w:t>
            </w:r>
            <w:hyperlink r:id="rId21" w:history="1">
              <w:r w:rsidR="002124FA" w:rsidRPr="002124FA">
                <w:rPr>
                  <w:rStyle w:val="Hyperlink"/>
                </w:rPr>
                <w:t>Education Support</w:t>
              </w:r>
            </w:hyperlink>
            <w:r w:rsidR="002124FA">
              <w:t xml:space="preserve"> provides a free helpline for school staff and targeted support for mental health and wellbeing.</w:t>
            </w:r>
          </w:p>
          <w:p w14:paraId="39D14A7C" w14:textId="2D2340A1" w:rsidR="00D67975" w:rsidRPr="00D67975" w:rsidRDefault="00D67975" w:rsidP="00D67975">
            <w:pPr>
              <w:pStyle w:val="ListParagraph"/>
              <w:spacing w:before="60" w:after="60"/>
              <w:contextualSpacing w:val="0"/>
              <w:rPr>
                <w:color w:val="FF0000"/>
              </w:rPr>
            </w:pPr>
            <w:r>
              <w:rPr>
                <w:color w:val="FF0000"/>
              </w:rPr>
              <w:t>Mental health first aiders x2</w:t>
            </w:r>
          </w:p>
          <w:p w14:paraId="085E8928" w14:textId="24132D5B" w:rsidR="00590B1E" w:rsidRDefault="00BC3EC5" w:rsidP="00BC3EC5">
            <w:pPr>
              <w:pStyle w:val="ListParagraph"/>
              <w:numPr>
                <w:ilvl w:val="0"/>
                <w:numId w:val="2"/>
              </w:numPr>
            </w:pPr>
            <w:r w:rsidRPr="00BC3EC5">
              <w:t>Ensure designated safeguarding leads (and deputies) are provided with</w:t>
            </w:r>
            <w:r w:rsidR="00B564AF">
              <w:t xml:space="preserve"> </w:t>
            </w:r>
            <w:r w:rsidRPr="00BC3EC5">
              <w:t xml:space="preserve">time, especially in the first few weeks of </w:t>
            </w:r>
            <w:r w:rsidR="0022739C">
              <w:t>after 8</w:t>
            </w:r>
            <w:r w:rsidR="0022739C" w:rsidRPr="0022739C">
              <w:rPr>
                <w:vertAlign w:val="superscript"/>
              </w:rPr>
              <w:t>th</w:t>
            </w:r>
            <w:r w:rsidR="0022739C">
              <w:t xml:space="preserve"> March</w:t>
            </w:r>
            <w:r w:rsidRPr="00BC3EC5">
              <w:t>, to help them provide support to staff and children regarding any new safeguarding and welfare concerns and the handling of referrals to children social care and other agencies where these are appropriate</w:t>
            </w:r>
            <w:r w:rsidR="004822D3">
              <w:t xml:space="preserve">. </w:t>
            </w:r>
            <w:r w:rsidR="00BC681D">
              <w:t xml:space="preserve">Consider whether </w:t>
            </w:r>
            <w:r w:rsidR="004822D3">
              <w:t xml:space="preserve">additional </w:t>
            </w:r>
            <w:r w:rsidR="00BC681D">
              <w:t>safeguarding training is necessary for staff</w:t>
            </w:r>
            <w:r w:rsidR="00B727E9">
              <w:t xml:space="preserve"> prior to full return.</w:t>
            </w:r>
          </w:p>
          <w:p w14:paraId="2F79F948" w14:textId="1EE3130C" w:rsidR="00B564AF" w:rsidRDefault="00B564AF" w:rsidP="00B564AF"/>
        </w:tc>
      </w:tr>
      <w:tr w:rsidR="00590B1E" w14:paraId="3AC70DD8" w14:textId="77777777" w:rsidTr="004B2E6D">
        <w:tc>
          <w:tcPr>
            <w:tcW w:w="2547" w:type="dxa"/>
            <w:shd w:val="clear" w:color="auto" w:fill="F2F2F2" w:themeFill="background1" w:themeFillShade="F2"/>
          </w:tcPr>
          <w:p w14:paraId="2BD9B177" w14:textId="1DADC9B1" w:rsidR="00590B1E" w:rsidRPr="00C5602D" w:rsidRDefault="00590B1E" w:rsidP="00C5602D">
            <w:pPr>
              <w:spacing w:before="60" w:after="60"/>
              <w:rPr>
                <w:b/>
                <w:bCs/>
              </w:rPr>
            </w:pPr>
            <w:r w:rsidRPr="00C5602D">
              <w:rPr>
                <w:b/>
                <w:bCs/>
              </w:rPr>
              <w:t>Curriculum and timetabling</w:t>
            </w:r>
          </w:p>
        </w:tc>
        <w:tc>
          <w:tcPr>
            <w:tcW w:w="11482" w:type="dxa"/>
          </w:tcPr>
          <w:p w14:paraId="615BC635" w14:textId="1B4554E0" w:rsidR="00450C48" w:rsidRDefault="00A56074" w:rsidP="00450C48">
            <w:pPr>
              <w:pStyle w:val="ListParagraph"/>
              <w:numPr>
                <w:ilvl w:val="0"/>
                <w:numId w:val="2"/>
              </w:numPr>
              <w:spacing w:before="60" w:after="60"/>
            </w:pPr>
            <w:r>
              <w:t>Scrutinise the plans for identifying the most important missed knowledge</w:t>
            </w:r>
            <w:r w:rsidR="007B6049">
              <w:t xml:space="preserve"> and </w:t>
            </w:r>
            <w:r w:rsidR="00857548">
              <w:t xml:space="preserve">how </w:t>
            </w:r>
            <w:r>
              <w:t>this will be covered, within a broad curriculum in all subjects</w:t>
            </w:r>
          </w:p>
          <w:p w14:paraId="729E9641" w14:textId="755BDC74" w:rsidR="00EB11ED" w:rsidRDefault="00EB11ED" w:rsidP="00450C48">
            <w:pPr>
              <w:pStyle w:val="ListParagraph"/>
              <w:numPr>
                <w:ilvl w:val="0"/>
                <w:numId w:val="2"/>
              </w:numPr>
              <w:spacing w:before="60" w:after="60"/>
            </w:pPr>
            <w:r>
              <w:t>Ensure t</w:t>
            </w:r>
            <w:r w:rsidRPr="00EB11ED">
              <w:t>he curriculum remains broad and ambitious</w:t>
            </w:r>
            <w:r>
              <w:t xml:space="preserve"> and that </w:t>
            </w:r>
            <w:r w:rsidRPr="00EB11ED">
              <w:t>all pupils continue to be taught a wide range of subjects</w:t>
            </w:r>
          </w:p>
          <w:p w14:paraId="08CD85B6" w14:textId="3F7A48E9" w:rsidR="00210AE5" w:rsidRDefault="009E48A6" w:rsidP="00245395">
            <w:pPr>
              <w:pStyle w:val="ListParagraph"/>
              <w:numPr>
                <w:ilvl w:val="0"/>
                <w:numId w:val="2"/>
              </w:numPr>
              <w:spacing w:before="60" w:after="60"/>
            </w:pPr>
            <w:r w:rsidRPr="009E48A6">
              <w:t xml:space="preserve">Ensure that there is a staffing plan and timetable for each school, including any special arrangements </w:t>
            </w:r>
            <w:r>
              <w:t xml:space="preserve">where necessary and practicable </w:t>
            </w:r>
            <w:r w:rsidRPr="009E48A6">
              <w:t>e.g. staggered starting and ending times of the school day, drop off and collection and/or break and lunch arrangements</w:t>
            </w:r>
          </w:p>
          <w:p w14:paraId="3C732233" w14:textId="27F3E3D5" w:rsidR="00D67975" w:rsidRPr="00D67975" w:rsidRDefault="00D67975" w:rsidP="00D67975">
            <w:pPr>
              <w:pStyle w:val="ListParagraph"/>
              <w:spacing w:before="60" w:after="60"/>
              <w:rPr>
                <w:color w:val="FF0000"/>
              </w:rPr>
            </w:pPr>
            <w:r>
              <w:rPr>
                <w:color w:val="FF0000"/>
              </w:rPr>
              <w:t>Communicated to staff and parents on 2/3/21</w:t>
            </w:r>
          </w:p>
          <w:p w14:paraId="5AC9305F" w14:textId="55EE16E1" w:rsidR="00590B1E" w:rsidRPr="00C447D6" w:rsidRDefault="0026730D" w:rsidP="00081A67">
            <w:pPr>
              <w:pStyle w:val="ListParagraph"/>
              <w:numPr>
                <w:ilvl w:val="0"/>
                <w:numId w:val="2"/>
              </w:numPr>
              <w:rPr>
                <w:rFonts w:ascii="Calibri" w:eastAsia="Calibri" w:hAnsi="Calibri" w:cs="Calibri"/>
              </w:rPr>
            </w:pPr>
            <w:r>
              <w:t xml:space="preserve">Scrutinise plans for how remote education will be offered </w:t>
            </w:r>
            <w:r w:rsidR="00C447D6" w:rsidRPr="00C447D6">
              <w:t>where a class, group or small number of pupils need to self-</w:t>
            </w:r>
            <w:r w:rsidR="00C91711">
              <w:t>isolate.</w:t>
            </w:r>
            <w:r w:rsidR="004811C2" w:rsidRPr="00C447D6">
              <w:rPr>
                <w:rFonts w:ascii="Calibri" w:eastAsia="Calibri" w:hAnsi="Calibri" w:cs="Calibri"/>
              </w:rPr>
              <w:t xml:space="preserve"> </w:t>
            </w:r>
          </w:p>
          <w:p w14:paraId="69556222" w14:textId="3B70F12F" w:rsidR="00437AC5" w:rsidRDefault="00384CF7" w:rsidP="005464B1">
            <w:pPr>
              <w:pStyle w:val="ListParagraph"/>
              <w:numPr>
                <w:ilvl w:val="0"/>
                <w:numId w:val="2"/>
              </w:numPr>
              <w:spacing w:before="60" w:after="60"/>
              <w:contextualSpacing w:val="0"/>
            </w:pPr>
            <w:r>
              <w:lastRenderedPageBreak/>
              <w:t>Review the approach to physical activity within the school day, ensuring pupils remain in consistent groups where possible, sports equipment is thoroughly cleaned between each use, contact sports are avoided</w:t>
            </w:r>
            <w:r w:rsidR="00437AC5">
              <w:t xml:space="preserve"> and </w:t>
            </w:r>
            <w:r>
              <w:t xml:space="preserve">outdoor sports </w:t>
            </w:r>
            <w:r w:rsidR="00437AC5">
              <w:t xml:space="preserve">are prioritised </w:t>
            </w:r>
            <w:r>
              <w:t xml:space="preserve">where possible, and large indoor spaces used where not, maximising distancing between pupils and paying attention to cleaning and hygiene. </w:t>
            </w:r>
          </w:p>
          <w:p w14:paraId="0BF4DBA0" w14:textId="7A26637F" w:rsidR="003C60BB" w:rsidRDefault="00210AE5" w:rsidP="00210AE5">
            <w:pPr>
              <w:pStyle w:val="ListParagraph"/>
              <w:numPr>
                <w:ilvl w:val="0"/>
                <w:numId w:val="2"/>
              </w:numPr>
              <w:spacing w:before="60" w:after="60"/>
            </w:pPr>
            <w:r>
              <w:t>Review you</w:t>
            </w:r>
            <w:r w:rsidR="006C4040">
              <w:t>r</w:t>
            </w:r>
            <w:r>
              <w:t xml:space="preserve"> before and after-school provision and plan whether/ how to restart.</w:t>
            </w:r>
            <w:r w:rsidR="006C4040">
              <w:t xml:space="preserve"> And ensure where </w:t>
            </w:r>
            <w:r>
              <w:t xml:space="preserve">parents </w:t>
            </w:r>
            <w:r w:rsidR="006C4040">
              <w:t xml:space="preserve">are </w:t>
            </w:r>
            <w:r>
              <w:t>us</w:t>
            </w:r>
            <w:r w:rsidR="006C4040">
              <w:t>ing</w:t>
            </w:r>
            <w:r>
              <w:t xml:space="preserve"> external providers</w:t>
            </w:r>
            <w:r w:rsidR="006C4040">
              <w:t>, that the school</w:t>
            </w:r>
            <w:r w:rsidR="00DA7E4E">
              <w:t xml:space="preserve"> </w:t>
            </w:r>
            <w:r w:rsidR="006C4040">
              <w:t xml:space="preserve">has a plan in place to </w:t>
            </w:r>
            <w:r>
              <w:t xml:space="preserve">and consider how such provision will work alongside their wider </w:t>
            </w:r>
            <w:r w:rsidR="00B84338">
              <w:t>system of controls</w:t>
            </w:r>
            <w:r>
              <w:t xml:space="preserve">, including keeping children within their year groups or bubbles where possible. </w:t>
            </w:r>
          </w:p>
          <w:p w14:paraId="52782C08" w14:textId="673E1DF3" w:rsidR="00D67975" w:rsidRPr="00D67975" w:rsidRDefault="00D67975" w:rsidP="00D67975">
            <w:pPr>
              <w:pStyle w:val="ListParagraph"/>
              <w:spacing w:before="60" w:after="60"/>
              <w:rPr>
                <w:color w:val="FF0000"/>
              </w:rPr>
            </w:pPr>
            <w:r>
              <w:rPr>
                <w:color w:val="FF0000"/>
              </w:rPr>
              <w:t>School will review again after Easter holidays to assess whether whole school breakfast club/after school clubs are safe to reopen.</w:t>
            </w:r>
          </w:p>
          <w:p w14:paraId="5979F088" w14:textId="29F08A42" w:rsidR="00C91711" w:rsidRDefault="00C91711" w:rsidP="00C91711">
            <w:pPr>
              <w:pStyle w:val="ListParagraph"/>
              <w:spacing w:before="60" w:after="60"/>
            </w:pPr>
          </w:p>
        </w:tc>
      </w:tr>
      <w:tr w:rsidR="00590B1E" w14:paraId="219962C8" w14:textId="77777777" w:rsidTr="004B2E6D">
        <w:tc>
          <w:tcPr>
            <w:tcW w:w="2547" w:type="dxa"/>
            <w:shd w:val="clear" w:color="auto" w:fill="F2F2F2" w:themeFill="background1" w:themeFillShade="F2"/>
          </w:tcPr>
          <w:p w14:paraId="29497710" w14:textId="0455108B" w:rsidR="00590B1E" w:rsidRDefault="00590B1E" w:rsidP="00C5602D">
            <w:pPr>
              <w:spacing w:before="60" w:after="60"/>
            </w:pPr>
            <w:r w:rsidRPr="00C5602D">
              <w:rPr>
                <w:b/>
                <w:bCs/>
              </w:rPr>
              <w:lastRenderedPageBreak/>
              <w:t>Polic</w:t>
            </w:r>
            <w:r>
              <w:rPr>
                <w:b/>
                <w:bCs/>
              </w:rPr>
              <w:t>ies and procedures</w:t>
            </w:r>
          </w:p>
        </w:tc>
        <w:tc>
          <w:tcPr>
            <w:tcW w:w="11482" w:type="dxa"/>
          </w:tcPr>
          <w:p w14:paraId="3E087132" w14:textId="68C33B31" w:rsidR="00590B1E" w:rsidRDefault="00590B1E" w:rsidP="00237C7D">
            <w:pPr>
              <w:pStyle w:val="ListParagraph"/>
              <w:numPr>
                <w:ilvl w:val="0"/>
                <w:numId w:val="10"/>
              </w:numPr>
              <w:spacing w:before="60" w:after="60"/>
            </w:pPr>
            <w:r>
              <w:t>Review at least the following policies and procedures</w:t>
            </w:r>
            <w:r w:rsidR="005F6BBD">
              <w:t xml:space="preserve"> and if you have addendums to policies consider whether these need to be amended or removed</w:t>
            </w:r>
            <w:r>
              <w:t>:</w:t>
            </w:r>
          </w:p>
          <w:p w14:paraId="3ECB3E65" w14:textId="79F02E02" w:rsidR="00590B1E" w:rsidRDefault="00590B1E" w:rsidP="00237C7D">
            <w:pPr>
              <w:pStyle w:val="ListParagraph"/>
              <w:numPr>
                <w:ilvl w:val="0"/>
                <w:numId w:val="11"/>
              </w:numPr>
              <w:spacing w:before="60" w:after="60"/>
            </w:pPr>
            <w:r>
              <w:t>Health and safety</w:t>
            </w:r>
          </w:p>
          <w:p w14:paraId="0E2202EF" w14:textId="38BD0C59" w:rsidR="00590B1E" w:rsidRDefault="00590B1E" w:rsidP="00237C7D">
            <w:pPr>
              <w:pStyle w:val="ListParagraph"/>
              <w:numPr>
                <w:ilvl w:val="0"/>
                <w:numId w:val="11"/>
              </w:numPr>
              <w:spacing w:before="60" w:after="60"/>
            </w:pPr>
            <w:r>
              <w:t>Child protection and safeguarding</w:t>
            </w:r>
          </w:p>
          <w:p w14:paraId="70D08D0B" w14:textId="4E0ADB7D" w:rsidR="00590B1E" w:rsidRDefault="00590B1E" w:rsidP="00237C7D">
            <w:pPr>
              <w:pStyle w:val="ListParagraph"/>
              <w:numPr>
                <w:ilvl w:val="0"/>
                <w:numId w:val="11"/>
              </w:numPr>
              <w:spacing w:before="60" w:after="60"/>
            </w:pPr>
            <w:r>
              <w:t>Attendance</w:t>
            </w:r>
            <w:r w:rsidR="00597CB5">
              <w:t xml:space="preserve"> </w:t>
            </w:r>
          </w:p>
          <w:p w14:paraId="5F73F572" w14:textId="4E6FC034" w:rsidR="00590B1E" w:rsidRDefault="00590B1E" w:rsidP="00237C7D">
            <w:pPr>
              <w:pStyle w:val="ListParagraph"/>
              <w:numPr>
                <w:ilvl w:val="0"/>
                <w:numId w:val="11"/>
              </w:numPr>
              <w:spacing w:before="60" w:after="60"/>
            </w:pPr>
            <w:r>
              <w:t>Behaviour</w:t>
            </w:r>
          </w:p>
          <w:p w14:paraId="33FD1F75" w14:textId="567CD5EC" w:rsidR="00590B1E" w:rsidRDefault="00C91711" w:rsidP="00C91711">
            <w:pPr>
              <w:pStyle w:val="ListParagraph"/>
              <w:numPr>
                <w:ilvl w:val="0"/>
                <w:numId w:val="11"/>
              </w:numPr>
              <w:spacing w:before="60" w:after="60"/>
            </w:pPr>
            <w:r>
              <w:t>Remote Education</w:t>
            </w:r>
          </w:p>
          <w:p w14:paraId="4B8B8A14" w14:textId="61C742A4" w:rsidR="00590B1E" w:rsidRDefault="00590B1E" w:rsidP="00237C7D">
            <w:pPr>
              <w:pStyle w:val="ListParagraph"/>
              <w:numPr>
                <w:ilvl w:val="0"/>
                <w:numId w:val="10"/>
              </w:numPr>
              <w:spacing w:before="60" w:after="60"/>
            </w:pPr>
            <w:r>
              <w:t>Consider whether enhanced safeguarding and welfare provision needs to be put in place – plan for the potential increase in disclosures and welfare needs including mental health</w:t>
            </w:r>
          </w:p>
          <w:p w14:paraId="34548371" w14:textId="051665EA" w:rsidR="00590B1E" w:rsidRDefault="00590B1E" w:rsidP="00237C7D">
            <w:pPr>
              <w:pStyle w:val="ListParagraph"/>
              <w:numPr>
                <w:ilvl w:val="0"/>
                <w:numId w:val="12"/>
              </w:numPr>
              <w:spacing w:before="60" w:after="60"/>
            </w:pPr>
            <w:r>
              <w:t xml:space="preserve">Amend procedures for fire drills </w:t>
            </w:r>
          </w:p>
          <w:p w14:paraId="1EF80009" w14:textId="77777777" w:rsidR="00B841C6" w:rsidRDefault="00590B1E" w:rsidP="004B2E6D">
            <w:pPr>
              <w:pStyle w:val="ListParagraph"/>
              <w:numPr>
                <w:ilvl w:val="0"/>
                <w:numId w:val="12"/>
              </w:numPr>
              <w:spacing w:before="60" w:after="60"/>
            </w:pPr>
            <w:r>
              <w:t>Assess whether any other trust and/or school-based policies and procedures need to be reviewed and amended</w:t>
            </w:r>
          </w:p>
          <w:p w14:paraId="026959E9" w14:textId="77269A3D" w:rsidR="000A694D" w:rsidRDefault="000A694D" w:rsidP="000A694D">
            <w:pPr>
              <w:pStyle w:val="ListParagraph"/>
              <w:spacing w:before="60" w:after="60"/>
            </w:pPr>
          </w:p>
        </w:tc>
      </w:tr>
      <w:tr w:rsidR="00590B1E" w14:paraId="69CA7B94" w14:textId="77777777" w:rsidTr="004B2E6D">
        <w:tc>
          <w:tcPr>
            <w:tcW w:w="2547" w:type="dxa"/>
            <w:shd w:val="clear" w:color="auto" w:fill="F2F2F2" w:themeFill="background1" w:themeFillShade="F2"/>
          </w:tcPr>
          <w:p w14:paraId="0F5D5974" w14:textId="122B150A" w:rsidR="00590B1E" w:rsidRDefault="005E5364" w:rsidP="00C5602D">
            <w:pPr>
              <w:spacing w:before="60" w:after="60"/>
            </w:pPr>
            <w:r>
              <w:rPr>
                <w:b/>
                <w:bCs/>
              </w:rPr>
              <w:t>School kitchens, s</w:t>
            </w:r>
            <w:r w:rsidR="00590B1E" w:rsidRPr="00C5602D">
              <w:rPr>
                <w:b/>
                <w:bCs/>
              </w:rPr>
              <w:t>upply chains and contracts</w:t>
            </w:r>
          </w:p>
        </w:tc>
        <w:tc>
          <w:tcPr>
            <w:tcW w:w="11482" w:type="dxa"/>
          </w:tcPr>
          <w:p w14:paraId="79A3E701" w14:textId="14ED983C" w:rsidR="00590B1E" w:rsidRDefault="005E5364" w:rsidP="0012167E">
            <w:pPr>
              <w:pStyle w:val="ListParagraph"/>
              <w:numPr>
                <w:ilvl w:val="0"/>
                <w:numId w:val="6"/>
              </w:numPr>
              <w:spacing w:before="60" w:after="60"/>
              <w:contextualSpacing w:val="0"/>
            </w:pPr>
            <w:r>
              <w:t xml:space="preserve">Scrutinise plans </w:t>
            </w:r>
            <w:r w:rsidR="0012167E">
              <w:t>for the</w:t>
            </w:r>
            <w:r>
              <w:t xml:space="preserve"> reopen</w:t>
            </w:r>
            <w:r w:rsidR="0012167E">
              <w:t>ing</w:t>
            </w:r>
            <w:r>
              <w:t xml:space="preserve"> school kitche</w:t>
            </w:r>
            <w:r w:rsidR="00E20380">
              <w:t xml:space="preserve">ns and compliance </w:t>
            </w:r>
            <w:r>
              <w:t xml:space="preserve">with the </w:t>
            </w:r>
            <w:hyperlink r:id="rId22" w:history="1">
              <w:r w:rsidRPr="00C63835">
                <w:rPr>
                  <w:rStyle w:val="Hyperlink"/>
                </w:rPr>
                <w:t>guidance for food businesses</w:t>
              </w:r>
            </w:hyperlink>
            <w:r>
              <w:t xml:space="preserve"> on</w:t>
            </w:r>
            <w:r w:rsidR="00E20380">
              <w:t xml:space="preserve"> </w:t>
            </w:r>
            <w:r>
              <w:t>COVID-19</w:t>
            </w:r>
          </w:p>
          <w:p w14:paraId="7F51ED56" w14:textId="4197B272" w:rsidR="00590B1E" w:rsidRDefault="000F4D5F" w:rsidP="0081348E">
            <w:pPr>
              <w:pStyle w:val="ListParagraph"/>
              <w:numPr>
                <w:ilvl w:val="0"/>
                <w:numId w:val="6"/>
              </w:numPr>
              <w:spacing w:before="60" w:after="60"/>
              <w:contextualSpacing w:val="0"/>
            </w:pPr>
            <w:r>
              <w:t xml:space="preserve">Ensure there is </w:t>
            </w:r>
            <w:r w:rsidR="00590B1E" w:rsidRPr="00910152">
              <w:t xml:space="preserve">free school meals provision </w:t>
            </w:r>
            <w:r>
              <w:t xml:space="preserve">over the </w:t>
            </w:r>
            <w:r w:rsidR="00FC7368">
              <w:t>holiday period</w:t>
            </w:r>
            <w:r w:rsidR="0021241B">
              <w:t xml:space="preserve"> – where applicable</w:t>
            </w:r>
          </w:p>
          <w:p w14:paraId="12FC024C" w14:textId="0564E307" w:rsidR="00590B1E" w:rsidRDefault="00590B1E" w:rsidP="0081348E">
            <w:pPr>
              <w:pStyle w:val="ListParagraph"/>
              <w:numPr>
                <w:ilvl w:val="0"/>
                <w:numId w:val="6"/>
              </w:numPr>
              <w:spacing w:before="60" w:after="60"/>
              <w:contextualSpacing w:val="0"/>
            </w:pPr>
            <w:r w:rsidRPr="00910152">
              <w:t xml:space="preserve">Check suppliers </w:t>
            </w:r>
            <w:r>
              <w:t xml:space="preserve">know and understand </w:t>
            </w:r>
            <w:r w:rsidR="001C5F0D">
              <w:t>the system of controls</w:t>
            </w:r>
            <w:r w:rsidRPr="00910152">
              <w:t xml:space="preserve"> and hygiene </w:t>
            </w:r>
            <w:r>
              <w:t>arrangements</w:t>
            </w:r>
          </w:p>
          <w:p w14:paraId="718F6158" w14:textId="77777777" w:rsidR="0021241B" w:rsidRDefault="00590B1E" w:rsidP="004B2E6D">
            <w:pPr>
              <w:pStyle w:val="ListParagraph"/>
              <w:numPr>
                <w:ilvl w:val="0"/>
                <w:numId w:val="6"/>
              </w:numPr>
              <w:spacing w:before="60" w:after="60"/>
              <w:contextualSpacing w:val="0"/>
            </w:pPr>
            <w:r w:rsidRPr="00910152">
              <w:t>Agree approach to any scheduled or ongoing building works</w:t>
            </w:r>
            <w:r w:rsidR="0008678B">
              <w:t xml:space="preserve"> in relation to safety</w:t>
            </w:r>
          </w:p>
          <w:p w14:paraId="0B3D6094" w14:textId="2B262613" w:rsidR="000A694D" w:rsidRDefault="000A694D" w:rsidP="000A694D">
            <w:pPr>
              <w:pStyle w:val="ListParagraph"/>
              <w:spacing w:before="60" w:after="60"/>
              <w:contextualSpacing w:val="0"/>
            </w:pPr>
          </w:p>
        </w:tc>
      </w:tr>
      <w:tr w:rsidR="00590B1E" w14:paraId="0AAC3CFB" w14:textId="77777777" w:rsidTr="004B2E6D">
        <w:tc>
          <w:tcPr>
            <w:tcW w:w="2547" w:type="dxa"/>
            <w:shd w:val="clear" w:color="auto" w:fill="F2F2F2" w:themeFill="background1" w:themeFillShade="F2"/>
          </w:tcPr>
          <w:p w14:paraId="7DD7E942" w14:textId="77777777" w:rsidR="00590B1E" w:rsidRPr="00C5602D" w:rsidRDefault="00590B1E" w:rsidP="00C5602D">
            <w:pPr>
              <w:spacing w:before="60" w:after="60"/>
              <w:rPr>
                <w:b/>
                <w:bCs/>
              </w:rPr>
            </w:pPr>
            <w:bookmarkStart w:id="1" w:name="_Hlk40004818"/>
            <w:r w:rsidRPr="00C5602D">
              <w:rPr>
                <w:b/>
                <w:bCs/>
              </w:rPr>
              <w:t>Communications</w:t>
            </w:r>
          </w:p>
          <w:p w14:paraId="17F3C585" w14:textId="3C1B494D" w:rsidR="00590B1E" w:rsidRDefault="00590B1E" w:rsidP="00C5602D">
            <w:pPr>
              <w:spacing w:before="60" w:after="60"/>
            </w:pPr>
          </w:p>
        </w:tc>
        <w:tc>
          <w:tcPr>
            <w:tcW w:w="11482" w:type="dxa"/>
          </w:tcPr>
          <w:p w14:paraId="2A3E06E4" w14:textId="1BF40D91" w:rsidR="00590B1E" w:rsidRDefault="00590B1E" w:rsidP="00237C7D">
            <w:pPr>
              <w:pStyle w:val="ListParagraph"/>
              <w:numPr>
                <w:ilvl w:val="0"/>
                <w:numId w:val="13"/>
              </w:numPr>
              <w:spacing w:before="60" w:after="60"/>
            </w:pPr>
            <w:r>
              <w:t>Plan and agree communications to staff</w:t>
            </w:r>
            <w:r w:rsidR="006C341E">
              <w:t>, including b</w:t>
            </w:r>
            <w:r w:rsidR="00884C79">
              <w:t>ut</w:t>
            </w:r>
            <w:r w:rsidR="006C341E">
              <w:t xml:space="preserve"> not limited to:</w:t>
            </w:r>
          </w:p>
          <w:p w14:paraId="3B934712" w14:textId="33D745FF" w:rsidR="00590B1E" w:rsidRDefault="00590B1E" w:rsidP="00237C7D">
            <w:pPr>
              <w:pStyle w:val="ListParagraph"/>
              <w:numPr>
                <w:ilvl w:val="0"/>
                <w:numId w:val="14"/>
              </w:numPr>
              <w:spacing w:before="60" w:after="60"/>
              <w:contextualSpacing w:val="0"/>
            </w:pPr>
            <w:r>
              <w:t>Arrangements for keeping staff and pupils safe</w:t>
            </w:r>
          </w:p>
          <w:p w14:paraId="47B9B59E" w14:textId="45701281" w:rsidR="00590B1E" w:rsidRDefault="00590B1E" w:rsidP="00237C7D">
            <w:pPr>
              <w:pStyle w:val="ListParagraph"/>
              <w:numPr>
                <w:ilvl w:val="0"/>
                <w:numId w:val="14"/>
              </w:numPr>
              <w:spacing w:before="60" w:after="60"/>
              <w:contextualSpacing w:val="0"/>
            </w:pPr>
            <w:r>
              <w:lastRenderedPageBreak/>
              <w:t>Staff deployment and attendance expectations</w:t>
            </w:r>
          </w:p>
          <w:p w14:paraId="6E1A121B" w14:textId="4E19B25A" w:rsidR="00590B1E" w:rsidRDefault="00590B1E" w:rsidP="00237C7D">
            <w:pPr>
              <w:pStyle w:val="ListParagraph"/>
              <w:numPr>
                <w:ilvl w:val="0"/>
                <w:numId w:val="14"/>
              </w:numPr>
              <w:spacing w:before="60" w:after="60"/>
              <w:contextualSpacing w:val="0"/>
            </w:pPr>
            <w:r>
              <w:t>Curriculum and timetabling</w:t>
            </w:r>
          </w:p>
          <w:p w14:paraId="2ECE2DD0" w14:textId="4ADBF3CC" w:rsidR="00590B1E" w:rsidRDefault="00590B1E" w:rsidP="00237C7D">
            <w:pPr>
              <w:pStyle w:val="ListParagraph"/>
              <w:numPr>
                <w:ilvl w:val="0"/>
                <w:numId w:val="14"/>
              </w:numPr>
              <w:spacing w:before="60" w:after="60"/>
              <w:contextualSpacing w:val="0"/>
            </w:pPr>
            <w:r>
              <w:t>Workload and wellbeing</w:t>
            </w:r>
          </w:p>
          <w:p w14:paraId="5FD7B6A2" w14:textId="1A098935" w:rsidR="00590B1E" w:rsidRDefault="00590B1E" w:rsidP="00237C7D">
            <w:pPr>
              <w:pStyle w:val="ListParagraph"/>
              <w:numPr>
                <w:ilvl w:val="0"/>
                <w:numId w:val="14"/>
              </w:numPr>
              <w:spacing w:before="60" w:after="60"/>
              <w:contextualSpacing w:val="0"/>
            </w:pPr>
            <w:r>
              <w:t>Training</w:t>
            </w:r>
          </w:p>
          <w:p w14:paraId="12078753" w14:textId="0856F084" w:rsidR="00590B1E" w:rsidRDefault="00590B1E" w:rsidP="00237C7D">
            <w:pPr>
              <w:pStyle w:val="ListParagraph"/>
              <w:numPr>
                <w:ilvl w:val="0"/>
                <w:numId w:val="13"/>
              </w:numPr>
              <w:spacing w:before="60" w:after="60"/>
            </w:pPr>
            <w:r>
              <w:t>Plan and agree communications to parents/carers</w:t>
            </w:r>
            <w:r w:rsidR="006C341E">
              <w:t>, including but not limited to:</w:t>
            </w:r>
          </w:p>
          <w:p w14:paraId="483C0EA7" w14:textId="77777777" w:rsidR="00590B1E" w:rsidRDefault="00590B1E" w:rsidP="008D2C8F">
            <w:pPr>
              <w:pStyle w:val="ListParagraph"/>
              <w:numPr>
                <w:ilvl w:val="0"/>
                <w:numId w:val="15"/>
              </w:numPr>
              <w:spacing w:before="60" w:after="60"/>
              <w:contextualSpacing w:val="0"/>
            </w:pPr>
            <w:r>
              <w:t>Attendance expectations</w:t>
            </w:r>
          </w:p>
          <w:p w14:paraId="7CA6F7FF" w14:textId="77777777" w:rsidR="00590B1E" w:rsidRDefault="00590B1E" w:rsidP="008D2C8F">
            <w:pPr>
              <w:pStyle w:val="ListParagraph"/>
              <w:numPr>
                <w:ilvl w:val="0"/>
                <w:numId w:val="15"/>
              </w:numPr>
              <w:spacing w:before="60" w:after="60"/>
              <w:contextualSpacing w:val="0"/>
            </w:pPr>
            <w:r>
              <w:t>Uniform expectations</w:t>
            </w:r>
          </w:p>
          <w:p w14:paraId="2D3180FB" w14:textId="5BE87A8E" w:rsidR="00CE146E" w:rsidRDefault="00590B1E" w:rsidP="009226F8">
            <w:pPr>
              <w:pStyle w:val="ListParagraph"/>
              <w:numPr>
                <w:ilvl w:val="0"/>
                <w:numId w:val="15"/>
              </w:numPr>
              <w:spacing w:before="60" w:after="60"/>
              <w:contextualSpacing w:val="0"/>
            </w:pPr>
            <w:r>
              <w:t xml:space="preserve">The curriculum </w:t>
            </w:r>
          </w:p>
          <w:p w14:paraId="408FD66B" w14:textId="34922B16" w:rsidR="00590B1E" w:rsidRDefault="00CE146E" w:rsidP="008D2C8F">
            <w:pPr>
              <w:pStyle w:val="ListParagraph"/>
              <w:numPr>
                <w:ilvl w:val="0"/>
                <w:numId w:val="15"/>
              </w:numPr>
              <w:spacing w:before="60" w:after="60"/>
              <w:contextualSpacing w:val="0"/>
            </w:pPr>
            <w:r>
              <w:t>D</w:t>
            </w:r>
            <w:r w:rsidR="00590B1E">
              <w:t xml:space="preserve">ropping off and picking up </w:t>
            </w:r>
          </w:p>
          <w:p w14:paraId="71EB79CD" w14:textId="38411659" w:rsidR="00590B1E" w:rsidRDefault="00590B1E" w:rsidP="008D2C8F">
            <w:pPr>
              <w:pStyle w:val="ListParagraph"/>
              <w:numPr>
                <w:ilvl w:val="0"/>
                <w:numId w:val="15"/>
              </w:numPr>
              <w:spacing w:before="60" w:after="60"/>
              <w:contextualSpacing w:val="0"/>
            </w:pPr>
            <w:r w:rsidRPr="00EB72FD">
              <w:t>Parents</w:t>
            </w:r>
            <w:r w:rsidR="00CE146E">
              <w:t>/ carers</w:t>
            </w:r>
            <w:r>
              <w:t xml:space="preserve"> visiting</w:t>
            </w:r>
            <w:r w:rsidRPr="00EB72FD">
              <w:t xml:space="preserve"> </w:t>
            </w:r>
            <w:r w:rsidR="00214F25">
              <w:t>the school</w:t>
            </w:r>
          </w:p>
          <w:p w14:paraId="380F97F1" w14:textId="77777777" w:rsidR="00237C7D" w:rsidRDefault="009226F8" w:rsidP="004B2E6D">
            <w:pPr>
              <w:pStyle w:val="ListParagraph"/>
              <w:numPr>
                <w:ilvl w:val="0"/>
                <w:numId w:val="15"/>
              </w:numPr>
              <w:spacing w:before="60" w:after="60"/>
              <w:contextualSpacing w:val="0"/>
            </w:pPr>
            <w:r>
              <w:t>Parents</w:t>
            </w:r>
            <w:r w:rsidR="0029187C">
              <w:t xml:space="preserve">’ </w:t>
            </w:r>
            <w:r>
              <w:t>evening arrangements</w:t>
            </w:r>
          </w:p>
          <w:p w14:paraId="7DED303E" w14:textId="249660E3" w:rsidR="000A694D" w:rsidRDefault="000A694D" w:rsidP="000A694D">
            <w:pPr>
              <w:pStyle w:val="ListParagraph"/>
              <w:spacing w:before="60" w:after="60"/>
              <w:ind w:left="1080"/>
              <w:contextualSpacing w:val="0"/>
            </w:pPr>
          </w:p>
        </w:tc>
      </w:tr>
    </w:tbl>
    <w:bookmarkEnd w:id="1"/>
    <w:p w14:paraId="319928FE" w14:textId="3DAE8780" w:rsidR="00E6445A" w:rsidRPr="0081348E" w:rsidRDefault="00FA6C50" w:rsidP="00910152">
      <w:pPr>
        <w:rPr>
          <w:b/>
          <w:bCs/>
          <w:sz w:val="28"/>
          <w:szCs w:val="28"/>
        </w:rPr>
      </w:pPr>
      <w:r>
        <w:rPr>
          <w:b/>
          <w:bCs/>
          <w:sz w:val="28"/>
          <w:szCs w:val="28"/>
        </w:rPr>
        <w:lastRenderedPageBreak/>
        <w:t>Decisions and a</w:t>
      </w:r>
      <w:r w:rsidR="00726D8E">
        <w:rPr>
          <w:b/>
          <w:bCs/>
          <w:sz w:val="28"/>
          <w:szCs w:val="28"/>
        </w:rPr>
        <w:t>ctions to manage the financial and education</w:t>
      </w:r>
      <w:r w:rsidR="00176E71">
        <w:rPr>
          <w:b/>
          <w:bCs/>
          <w:sz w:val="28"/>
          <w:szCs w:val="28"/>
        </w:rPr>
        <w:t>al</w:t>
      </w:r>
      <w:r w:rsidR="00726D8E">
        <w:rPr>
          <w:b/>
          <w:bCs/>
          <w:sz w:val="28"/>
          <w:szCs w:val="28"/>
        </w:rPr>
        <w:t xml:space="preserve"> impacts and regulatory and accountability environments</w:t>
      </w:r>
    </w:p>
    <w:tbl>
      <w:tblPr>
        <w:tblStyle w:val="TableGrid"/>
        <w:tblW w:w="14029" w:type="dxa"/>
        <w:tblLook w:val="04A0" w:firstRow="1" w:lastRow="0" w:firstColumn="1" w:lastColumn="0" w:noHBand="0" w:noVBand="1"/>
      </w:tblPr>
      <w:tblGrid>
        <w:gridCol w:w="2547"/>
        <w:gridCol w:w="11482"/>
      </w:tblGrid>
      <w:tr w:rsidR="00BC35FF" w14:paraId="428179FD" w14:textId="77777777" w:rsidTr="004B2E6D">
        <w:tc>
          <w:tcPr>
            <w:tcW w:w="2547" w:type="dxa"/>
            <w:shd w:val="clear" w:color="auto" w:fill="F2F2F2" w:themeFill="background1" w:themeFillShade="F2"/>
          </w:tcPr>
          <w:p w14:paraId="371C6777" w14:textId="2AA75022" w:rsidR="00BC35FF" w:rsidRPr="00C5602D" w:rsidRDefault="00BC35FF" w:rsidP="00281491">
            <w:pPr>
              <w:spacing w:before="60" w:after="60"/>
              <w:rPr>
                <w:b/>
                <w:bCs/>
              </w:rPr>
            </w:pPr>
            <w:r>
              <w:rPr>
                <w:b/>
                <w:bCs/>
              </w:rPr>
              <w:t>Financial impacts</w:t>
            </w:r>
          </w:p>
          <w:p w14:paraId="57BA0CA8" w14:textId="708D3703" w:rsidR="00BC35FF" w:rsidRDefault="00812649" w:rsidP="00281491">
            <w:pPr>
              <w:spacing w:before="60" w:after="60"/>
            </w:pPr>
            <w:r>
              <w:t>(At trust level)</w:t>
            </w:r>
          </w:p>
        </w:tc>
        <w:tc>
          <w:tcPr>
            <w:tcW w:w="11482" w:type="dxa"/>
          </w:tcPr>
          <w:p w14:paraId="7AE8567A" w14:textId="601FB6B0" w:rsidR="00FF60A1" w:rsidRDefault="00FF60A1" w:rsidP="007F6F6B">
            <w:pPr>
              <w:pStyle w:val="ListParagraph"/>
              <w:numPr>
                <w:ilvl w:val="0"/>
                <w:numId w:val="8"/>
              </w:numPr>
              <w:spacing w:before="60" w:after="60"/>
              <w:ind w:left="714" w:hanging="357"/>
              <w:contextualSpacing w:val="0"/>
            </w:pPr>
            <w:r>
              <w:t>Ensure a</w:t>
            </w:r>
            <w:r w:rsidRPr="00FF60A1">
              <w:t xml:space="preserve">dditional cost pressures </w:t>
            </w:r>
            <w:r>
              <w:t xml:space="preserve">due to COVID-19 have been identified </w:t>
            </w:r>
            <w:r w:rsidRPr="00FF60A1">
              <w:t>and</w:t>
            </w:r>
            <w:r>
              <w:t xml:space="preserve"> an</w:t>
            </w:r>
            <w:r w:rsidRPr="00FF60A1">
              <w:t xml:space="preserve"> end-of-year forecast which factors them in has been produ</w:t>
            </w:r>
            <w:r>
              <w:t>ced</w:t>
            </w:r>
            <w:r w:rsidR="00895B73">
              <w:t xml:space="preserve"> for the board</w:t>
            </w:r>
          </w:p>
          <w:p w14:paraId="5C0F2C1E" w14:textId="10AF22C4" w:rsidR="00912D30" w:rsidRDefault="00912D30" w:rsidP="007F6F6B">
            <w:pPr>
              <w:pStyle w:val="ListParagraph"/>
              <w:numPr>
                <w:ilvl w:val="0"/>
                <w:numId w:val="8"/>
              </w:numPr>
              <w:spacing w:before="60" w:after="60"/>
              <w:ind w:left="714" w:hanging="357"/>
              <w:contextualSpacing w:val="0"/>
            </w:pPr>
            <w:r>
              <w:t xml:space="preserve">Assess whether </w:t>
            </w:r>
            <w:r w:rsidR="002E1E50">
              <w:t xml:space="preserve">schools in the trust are eligible for financial support (DFE has published </w:t>
            </w:r>
            <w:hyperlink r:id="rId23" w:anchor="additional-costs-covered-by-the-fund" w:history="1">
              <w:r w:rsidR="002E1E50" w:rsidRPr="009C4510">
                <w:rPr>
                  <w:rStyle w:val="Hyperlink"/>
                </w:rPr>
                <w:t>guidance</w:t>
              </w:r>
            </w:hyperlink>
            <w:r w:rsidR="002E1E50">
              <w:t xml:space="preserve"> on the financial support schools and trusts will receive to reimburse them for exceptional costs incurred during COVID-19. These relate to increased premises-related costs; support for free school meals for eligible children who are not attending school</w:t>
            </w:r>
            <w:r w:rsidR="00336272">
              <w:t xml:space="preserve"> and</w:t>
            </w:r>
            <w:r w:rsidR="002E1E50">
              <w:t xml:space="preserve"> where those costs are not covered by the FSM national voucher scheme and additional cleaning costs</w:t>
            </w:r>
            <w:r w:rsidR="00CE146E">
              <w:t>)</w:t>
            </w:r>
          </w:p>
          <w:p w14:paraId="626A2F9C" w14:textId="22B2619E" w:rsidR="0033494F" w:rsidRDefault="0033494F" w:rsidP="007F6F6B">
            <w:pPr>
              <w:pStyle w:val="ListParagraph"/>
              <w:numPr>
                <w:ilvl w:val="0"/>
                <w:numId w:val="8"/>
              </w:numPr>
              <w:spacing w:before="60" w:after="60"/>
              <w:ind w:left="714" w:hanging="357"/>
              <w:contextualSpacing w:val="0"/>
            </w:pPr>
            <w:r>
              <w:t>Assess impact on reserves and review reserves policy</w:t>
            </w:r>
          </w:p>
          <w:p w14:paraId="6F0EC618" w14:textId="77777777" w:rsidR="00FA7F9C" w:rsidRDefault="0033494F" w:rsidP="00CC75D4">
            <w:pPr>
              <w:pStyle w:val="ListParagraph"/>
              <w:numPr>
                <w:ilvl w:val="0"/>
                <w:numId w:val="8"/>
              </w:numPr>
              <w:spacing w:before="60" w:after="60"/>
              <w:ind w:left="714" w:hanging="357"/>
              <w:contextualSpacing w:val="0"/>
            </w:pPr>
            <w:r>
              <w:t>Assess</w:t>
            </w:r>
            <w:r w:rsidR="00C43B70">
              <w:t xml:space="preserve"> impact on three-year financial strategy</w:t>
            </w:r>
          </w:p>
          <w:p w14:paraId="2BADB83B" w14:textId="4944CA39" w:rsidR="000A694D" w:rsidRDefault="000A694D" w:rsidP="000A694D">
            <w:pPr>
              <w:pStyle w:val="ListParagraph"/>
              <w:spacing w:before="60" w:after="60"/>
              <w:ind w:left="714"/>
              <w:contextualSpacing w:val="0"/>
            </w:pPr>
          </w:p>
        </w:tc>
      </w:tr>
      <w:tr w:rsidR="00BC35FF" w14:paraId="4B278193" w14:textId="77777777" w:rsidTr="004B2E6D">
        <w:tc>
          <w:tcPr>
            <w:tcW w:w="2547" w:type="dxa"/>
            <w:shd w:val="clear" w:color="auto" w:fill="F2F2F2" w:themeFill="background1" w:themeFillShade="F2"/>
          </w:tcPr>
          <w:p w14:paraId="0DD84935" w14:textId="77777777" w:rsidR="00BC35FF" w:rsidRDefault="00BC35FF" w:rsidP="00281491">
            <w:pPr>
              <w:spacing w:before="60" w:after="60"/>
              <w:rPr>
                <w:b/>
                <w:bCs/>
              </w:rPr>
            </w:pPr>
            <w:r>
              <w:rPr>
                <w:b/>
                <w:bCs/>
              </w:rPr>
              <w:t>Educational impacts</w:t>
            </w:r>
          </w:p>
          <w:p w14:paraId="20BEA81D" w14:textId="6FC53B37" w:rsidR="00210613" w:rsidRDefault="00210613" w:rsidP="00281491">
            <w:pPr>
              <w:spacing w:before="60" w:after="60"/>
              <w:rPr>
                <w:b/>
                <w:bCs/>
              </w:rPr>
            </w:pPr>
            <w:r>
              <w:rPr>
                <w:b/>
                <w:bCs/>
              </w:rPr>
              <w:t xml:space="preserve">(At trust </w:t>
            </w:r>
            <w:r w:rsidR="00F03DC9">
              <w:rPr>
                <w:b/>
                <w:bCs/>
              </w:rPr>
              <w:t xml:space="preserve">and school </w:t>
            </w:r>
            <w:r>
              <w:rPr>
                <w:b/>
                <w:bCs/>
              </w:rPr>
              <w:t>level)</w:t>
            </w:r>
          </w:p>
        </w:tc>
        <w:tc>
          <w:tcPr>
            <w:tcW w:w="11482" w:type="dxa"/>
          </w:tcPr>
          <w:p w14:paraId="39D15174" w14:textId="77777777" w:rsidR="00F03DC9" w:rsidRDefault="00C1644B" w:rsidP="004B2E6D">
            <w:pPr>
              <w:pStyle w:val="ListParagraph"/>
              <w:numPr>
                <w:ilvl w:val="0"/>
                <w:numId w:val="29"/>
              </w:numPr>
              <w:spacing w:before="60" w:after="60"/>
            </w:pPr>
            <w:r>
              <w:t xml:space="preserve">Keep educational impacts under review – ensure a trust-wide plan is in place to assess educational impacts, specifically gaps in learning, and </w:t>
            </w:r>
            <w:r w:rsidR="00336272">
              <w:t xml:space="preserve">that the </w:t>
            </w:r>
            <w:r>
              <w:t xml:space="preserve">plans </w:t>
            </w:r>
            <w:r w:rsidR="000E151A">
              <w:t>address these</w:t>
            </w:r>
            <w:r w:rsidR="00556806">
              <w:t xml:space="preserve"> in the short and medium term</w:t>
            </w:r>
            <w:r w:rsidR="0038094A">
              <w:t xml:space="preserve"> (see curriculum section above)</w:t>
            </w:r>
          </w:p>
          <w:p w14:paraId="4D442AB7" w14:textId="24D27B4F" w:rsidR="000A694D" w:rsidRDefault="000A694D" w:rsidP="000A694D">
            <w:pPr>
              <w:pStyle w:val="ListParagraph"/>
              <w:spacing w:before="60" w:after="60"/>
            </w:pPr>
          </w:p>
        </w:tc>
      </w:tr>
      <w:tr w:rsidR="00BC35FF" w14:paraId="7ED9DB56" w14:textId="77777777" w:rsidTr="004B2E6D">
        <w:tc>
          <w:tcPr>
            <w:tcW w:w="2547" w:type="dxa"/>
            <w:shd w:val="clear" w:color="auto" w:fill="F2F2F2" w:themeFill="background1" w:themeFillShade="F2"/>
          </w:tcPr>
          <w:p w14:paraId="4394F8CB" w14:textId="77777777" w:rsidR="00BC35FF" w:rsidRDefault="00BC35FF" w:rsidP="00281491">
            <w:pPr>
              <w:spacing w:before="60" w:after="60"/>
              <w:rPr>
                <w:b/>
                <w:bCs/>
              </w:rPr>
            </w:pPr>
            <w:r>
              <w:rPr>
                <w:b/>
                <w:bCs/>
              </w:rPr>
              <w:lastRenderedPageBreak/>
              <w:t>Regulatory environment</w:t>
            </w:r>
          </w:p>
          <w:p w14:paraId="3B34C2F4" w14:textId="08BE761C" w:rsidR="00210613" w:rsidRDefault="00210613" w:rsidP="00281491">
            <w:pPr>
              <w:spacing w:before="60" w:after="60"/>
              <w:rPr>
                <w:b/>
                <w:bCs/>
              </w:rPr>
            </w:pPr>
            <w:r>
              <w:rPr>
                <w:b/>
                <w:bCs/>
              </w:rPr>
              <w:t>(At trust level)</w:t>
            </w:r>
          </w:p>
        </w:tc>
        <w:tc>
          <w:tcPr>
            <w:tcW w:w="11482" w:type="dxa"/>
          </w:tcPr>
          <w:p w14:paraId="0AB1AA40" w14:textId="4A92EAD4" w:rsidR="003B1FA0" w:rsidRDefault="003B1FA0" w:rsidP="003960FF">
            <w:pPr>
              <w:pStyle w:val="ListParagraph"/>
              <w:numPr>
                <w:ilvl w:val="0"/>
                <w:numId w:val="31"/>
              </w:numPr>
              <w:spacing w:before="60" w:after="60"/>
            </w:pPr>
            <w:r>
              <w:t>Review the new</w:t>
            </w:r>
            <w:r w:rsidR="00FA4A76">
              <w:t xml:space="preserve"> regulatory requirements in the</w:t>
            </w:r>
            <w:r>
              <w:t xml:space="preserve"> </w:t>
            </w:r>
            <w:hyperlink r:id="rId24" w:history="1">
              <w:r w:rsidRPr="00E55283">
                <w:rPr>
                  <w:rStyle w:val="Hyperlink"/>
                </w:rPr>
                <w:t>Academies Financial Handbook</w:t>
              </w:r>
            </w:hyperlink>
            <w:r>
              <w:t xml:space="preserve"> which </w:t>
            </w:r>
            <w:r w:rsidR="00140114">
              <w:t>came</w:t>
            </w:r>
            <w:r>
              <w:t xml:space="preserve"> into </w:t>
            </w:r>
            <w:r w:rsidR="00140114">
              <w:t>force</w:t>
            </w:r>
            <w:r>
              <w:t xml:space="preserve"> in September 2020</w:t>
            </w:r>
            <w:r w:rsidR="009F6C8D">
              <w:t xml:space="preserve"> (summarised in </w:t>
            </w:r>
            <w:r w:rsidR="009F6C8D" w:rsidRPr="009F6C8D">
              <w:rPr>
                <w:b/>
                <w:bCs/>
              </w:rPr>
              <w:t>annex B</w:t>
            </w:r>
            <w:r w:rsidR="009F6C8D">
              <w:t xml:space="preserve"> below)</w:t>
            </w:r>
          </w:p>
          <w:p w14:paraId="63D23318" w14:textId="3888B8B3" w:rsidR="00571696" w:rsidRDefault="00A21BB3" w:rsidP="004214C8">
            <w:pPr>
              <w:pStyle w:val="ListParagraph"/>
              <w:numPr>
                <w:ilvl w:val="0"/>
                <w:numId w:val="30"/>
              </w:numPr>
              <w:spacing w:before="60" w:after="60"/>
              <w:ind w:left="714" w:hanging="357"/>
              <w:contextualSpacing w:val="0"/>
            </w:pPr>
            <w:r>
              <w:t>Agree a plan for</w:t>
            </w:r>
            <w:r w:rsidR="00571696">
              <w:t xml:space="preserve"> internal scrutiny</w:t>
            </w:r>
            <w:r w:rsidR="00892953">
              <w:t>.</w:t>
            </w:r>
          </w:p>
          <w:p w14:paraId="3B3A2B50" w14:textId="3173D353" w:rsidR="00A21BB3" w:rsidRDefault="00B75AF3" w:rsidP="004214C8">
            <w:pPr>
              <w:pStyle w:val="ListParagraph"/>
              <w:numPr>
                <w:ilvl w:val="0"/>
                <w:numId w:val="30"/>
              </w:numPr>
              <w:spacing w:before="60" w:after="60"/>
              <w:ind w:left="714" w:hanging="357"/>
              <w:contextualSpacing w:val="0"/>
            </w:pPr>
            <w:r>
              <w:t>Agree the arrangements for external audit and associated returns</w:t>
            </w:r>
            <w:r w:rsidR="00892953">
              <w:t>.</w:t>
            </w:r>
          </w:p>
          <w:p w14:paraId="4D01AEC8" w14:textId="77777777" w:rsidR="00F03DC9" w:rsidRDefault="004214C8" w:rsidP="004B2E6D">
            <w:pPr>
              <w:pStyle w:val="ListParagraph"/>
              <w:numPr>
                <w:ilvl w:val="0"/>
                <w:numId w:val="30"/>
              </w:numPr>
              <w:spacing w:before="60" w:after="60"/>
              <w:ind w:left="714" w:hanging="357"/>
              <w:contextualSpacing w:val="0"/>
            </w:pPr>
            <w:r>
              <w:t>Keep under review the statutory timescales for returns that have been paused or deferred</w:t>
            </w:r>
            <w:r w:rsidR="00082397">
              <w:t xml:space="preserve"> - ESFA published </w:t>
            </w:r>
            <w:hyperlink r:id="rId25" w:history="1">
              <w:r w:rsidR="00082397" w:rsidRPr="00821ABF">
                <w:rPr>
                  <w:rStyle w:val="Hyperlink"/>
                </w:rPr>
                <w:t>guidance</w:t>
              </w:r>
            </w:hyperlink>
            <w:r w:rsidR="00082397">
              <w:t xml:space="preserve"> on reducing burdens which includes a full list of returns that have been cancelled, paused or deferre</w:t>
            </w:r>
            <w:r w:rsidR="00556806">
              <w:t>d</w:t>
            </w:r>
            <w:r w:rsidR="00F03DC9">
              <w:t>.</w:t>
            </w:r>
          </w:p>
          <w:p w14:paraId="59D5AAFD" w14:textId="77777777" w:rsidR="000A694D" w:rsidRDefault="000A694D" w:rsidP="000A694D">
            <w:pPr>
              <w:pStyle w:val="ListParagraph"/>
              <w:spacing w:before="60" w:after="60"/>
              <w:ind w:left="714"/>
              <w:contextualSpacing w:val="0"/>
            </w:pPr>
          </w:p>
          <w:p w14:paraId="265A5FB0" w14:textId="77777777" w:rsidR="000A694D" w:rsidRDefault="000A694D" w:rsidP="000A694D">
            <w:pPr>
              <w:pStyle w:val="ListParagraph"/>
              <w:spacing w:before="60" w:after="60"/>
              <w:ind w:left="714"/>
              <w:contextualSpacing w:val="0"/>
            </w:pPr>
          </w:p>
          <w:p w14:paraId="7227E06E" w14:textId="750D9D59" w:rsidR="000A694D" w:rsidRDefault="000A694D" w:rsidP="000A694D">
            <w:pPr>
              <w:pStyle w:val="ListParagraph"/>
              <w:spacing w:before="60" w:after="60"/>
              <w:ind w:left="714"/>
              <w:contextualSpacing w:val="0"/>
            </w:pPr>
          </w:p>
        </w:tc>
      </w:tr>
      <w:tr w:rsidR="00BC35FF" w14:paraId="002F1020" w14:textId="77777777" w:rsidTr="004B2E6D">
        <w:tc>
          <w:tcPr>
            <w:tcW w:w="2547" w:type="dxa"/>
            <w:shd w:val="clear" w:color="auto" w:fill="F2F2F2" w:themeFill="background1" w:themeFillShade="F2"/>
          </w:tcPr>
          <w:p w14:paraId="4EC8C60F" w14:textId="2FC7ACD9" w:rsidR="00BC35FF" w:rsidRDefault="00BC35FF" w:rsidP="00281491">
            <w:pPr>
              <w:spacing w:before="60" w:after="60"/>
              <w:rPr>
                <w:b/>
                <w:bCs/>
              </w:rPr>
            </w:pPr>
            <w:r>
              <w:rPr>
                <w:b/>
                <w:bCs/>
              </w:rPr>
              <w:t>Accountability environment</w:t>
            </w:r>
          </w:p>
        </w:tc>
        <w:tc>
          <w:tcPr>
            <w:tcW w:w="11482" w:type="dxa"/>
          </w:tcPr>
          <w:p w14:paraId="69ADF33A" w14:textId="58C35FA6" w:rsidR="00C770F8" w:rsidRDefault="00A503E9" w:rsidP="008B3B1F">
            <w:pPr>
              <w:pStyle w:val="ListParagraph"/>
              <w:numPr>
                <w:ilvl w:val="0"/>
                <w:numId w:val="32"/>
              </w:numPr>
              <w:spacing w:before="60" w:after="60"/>
              <w:contextualSpacing w:val="0"/>
            </w:pPr>
            <w:r>
              <w:t xml:space="preserve">Review the arrangements for school and trust accountability </w:t>
            </w:r>
            <w:r w:rsidR="00711880">
              <w:t xml:space="preserve">and the performance management policy in the light of </w:t>
            </w:r>
            <w:r w:rsidR="00A72AF2">
              <w:t xml:space="preserve">how school and trust </w:t>
            </w:r>
            <w:r w:rsidR="000F64C1">
              <w:t xml:space="preserve">external </w:t>
            </w:r>
            <w:r w:rsidR="00A72AF2">
              <w:t>accountability will be handled</w:t>
            </w:r>
            <w:r w:rsidR="00711880">
              <w:t xml:space="preserve">. </w:t>
            </w:r>
            <w:r w:rsidR="00EA4DBD">
              <w:t>Please note that guidance states that teachers must not be penalised during the appraisal process or any subsequent pay progression decisions because of the decision to restrict pupil attendance at schools.</w:t>
            </w:r>
          </w:p>
          <w:p w14:paraId="7C186817" w14:textId="77777777" w:rsidR="00A72AF2" w:rsidRDefault="007477C0" w:rsidP="007477C0">
            <w:pPr>
              <w:pStyle w:val="ListParagraph"/>
              <w:numPr>
                <w:ilvl w:val="0"/>
                <w:numId w:val="32"/>
              </w:numPr>
              <w:spacing w:before="60" w:after="60"/>
            </w:pPr>
            <w:r>
              <w:t xml:space="preserve">Performance tables were not published for the 2019 to 2020 academic year. </w:t>
            </w:r>
            <w:proofErr w:type="spellStart"/>
            <w:r>
              <w:t>DfE</w:t>
            </w:r>
            <w:proofErr w:type="spellEnd"/>
            <w:r>
              <w:t xml:space="preserve"> will not judge schools on data based on exams and assessments from 2020. </w:t>
            </w:r>
            <w:proofErr w:type="spellStart"/>
            <w:r>
              <w:t>DfE</w:t>
            </w:r>
            <w:proofErr w:type="spellEnd"/>
            <w:r>
              <w:t xml:space="preserve"> will not publish data based on exam and assessment results from summer 2021 on school and college performance tables. Read </w:t>
            </w:r>
            <w:hyperlink r:id="rId26" w:history="1">
              <w:r w:rsidRPr="00D45744">
                <w:rPr>
                  <w:rStyle w:val="Hyperlink"/>
                </w:rPr>
                <w:t>coronavirus (COVID-19): school and college accountability</w:t>
              </w:r>
            </w:hyperlink>
            <w:r>
              <w:t xml:space="preserve"> to see what this means for accountability in 2019 to 2020 and 2020 to 2021.</w:t>
            </w:r>
          </w:p>
          <w:p w14:paraId="07631BD3" w14:textId="74159C41" w:rsidR="000A694D" w:rsidRDefault="000A694D" w:rsidP="000A694D">
            <w:pPr>
              <w:pStyle w:val="ListParagraph"/>
              <w:spacing w:before="60" w:after="60"/>
            </w:pPr>
          </w:p>
        </w:tc>
      </w:tr>
    </w:tbl>
    <w:p w14:paraId="7ECD9920" w14:textId="77777777" w:rsidR="004B2E6D" w:rsidRDefault="004B2E6D" w:rsidP="00910152">
      <w:pPr>
        <w:rPr>
          <w:b/>
          <w:bCs/>
          <w:sz w:val="28"/>
          <w:szCs w:val="28"/>
        </w:rPr>
      </w:pPr>
    </w:p>
    <w:p w14:paraId="550FD475" w14:textId="77777777" w:rsidR="00D67975" w:rsidRDefault="00D67975" w:rsidP="00910152">
      <w:pPr>
        <w:rPr>
          <w:b/>
          <w:bCs/>
          <w:sz w:val="28"/>
          <w:szCs w:val="28"/>
        </w:rPr>
      </w:pPr>
    </w:p>
    <w:p w14:paraId="5B567CE5" w14:textId="77777777" w:rsidR="00D67975" w:rsidRDefault="00D67975" w:rsidP="00910152">
      <w:pPr>
        <w:rPr>
          <w:b/>
          <w:bCs/>
          <w:sz w:val="28"/>
          <w:szCs w:val="28"/>
        </w:rPr>
      </w:pPr>
    </w:p>
    <w:p w14:paraId="200248B7" w14:textId="77777777" w:rsidR="00D67975" w:rsidRDefault="00D67975" w:rsidP="00910152">
      <w:pPr>
        <w:rPr>
          <w:b/>
          <w:bCs/>
          <w:sz w:val="28"/>
          <w:szCs w:val="28"/>
        </w:rPr>
      </w:pPr>
    </w:p>
    <w:p w14:paraId="12AC610F" w14:textId="77777777" w:rsidR="00D67975" w:rsidRDefault="00D67975" w:rsidP="00910152">
      <w:pPr>
        <w:rPr>
          <w:b/>
          <w:bCs/>
          <w:sz w:val="28"/>
          <w:szCs w:val="28"/>
        </w:rPr>
      </w:pPr>
    </w:p>
    <w:p w14:paraId="7A144859" w14:textId="77777777" w:rsidR="00D67975" w:rsidRDefault="00D67975" w:rsidP="00910152">
      <w:pPr>
        <w:rPr>
          <w:b/>
          <w:bCs/>
          <w:sz w:val="28"/>
          <w:szCs w:val="28"/>
        </w:rPr>
      </w:pPr>
    </w:p>
    <w:p w14:paraId="61B4A11B" w14:textId="20C9F520" w:rsidR="00585B01" w:rsidRDefault="009A0F11" w:rsidP="00910152">
      <w:pPr>
        <w:rPr>
          <w:b/>
          <w:bCs/>
          <w:sz w:val="28"/>
          <w:szCs w:val="28"/>
        </w:rPr>
      </w:pPr>
      <w:r w:rsidRPr="00AC6F03">
        <w:rPr>
          <w:b/>
          <w:bCs/>
          <w:sz w:val="28"/>
          <w:szCs w:val="28"/>
        </w:rPr>
        <w:lastRenderedPageBreak/>
        <w:t>Annex A</w:t>
      </w:r>
      <w:r w:rsidR="00890E48" w:rsidRPr="00AC6F03">
        <w:rPr>
          <w:b/>
          <w:bCs/>
          <w:sz w:val="28"/>
          <w:szCs w:val="28"/>
        </w:rPr>
        <w:t xml:space="preserve">: </w:t>
      </w:r>
      <w:r w:rsidR="00A56FAD">
        <w:rPr>
          <w:b/>
          <w:bCs/>
          <w:sz w:val="28"/>
          <w:szCs w:val="28"/>
        </w:rPr>
        <w:t>T</w:t>
      </w:r>
      <w:r w:rsidR="00890E48" w:rsidRPr="00AC6F03">
        <w:rPr>
          <w:b/>
          <w:bCs/>
          <w:sz w:val="28"/>
          <w:szCs w:val="28"/>
        </w:rPr>
        <w:t xml:space="preserve">he </w:t>
      </w:r>
      <w:r w:rsidR="00E4308A">
        <w:rPr>
          <w:b/>
          <w:bCs/>
          <w:sz w:val="28"/>
          <w:szCs w:val="28"/>
        </w:rPr>
        <w:t>Public Health S</w:t>
      </w:r>
      <w:r w:rsidR="00890E48" w:rsidRPr="00AC6F03">
        <w:rPr>
          <w:b/>
          <w:bCs/>
          <w:sz w:val="28"/>
          <w:szCs w:val="28"/>
        </w:rPr>
        <w:t xml:space="preserve">ystem of </w:t>
      </w:r>
      <w:r w:rsidR="00E4308A">
        <w:rPr>
          <w:b/>
          <w:bCs/>
          <w:sz w:val="28"/>
          <w:szCs w:val="28"/>
        </w:rPr>
        <w:t>C</w:t>
      </w:r>
      <w:r w:rsidR="00890E48" w:rsidRPr="00AC6F03">
        <w:rPr>
          <w:b/>
          <w:bCs/>
          <w:sz w:val="28"/>
          <w:szCs w:val="28"/>
        </w:rPr>
        <w:t>ontrols</w:t>
      </w:r>
    </w:p>
    <w:p w14:paraId="46F29B2D" w14:textId="194DF32D" w:rsidR="007A077C" w:rsidRPr="00F55516" w:rsidRDefault="00A52647" w:rsidP="00910152">
      <w:pPr>
        <w:rPr>
          <w:i/>
          <w:iCs/>
          <w:sz w:val="24"/>
          <w:szCs w:val="24"/>
        </w:rPr>
      </w:pPr>
      <w:r w:rsidRPr="00F55516">
        <w:rPr>
          <w:i/>
          <w:iCs/>
          <w:sz w:val="24"/>
          <w:szCs w:val="24"/>
        </w:rPr>
        <w:t xml:space="preserve">The system of </w:t>
      </w:r>
      <w:r w:rsidR="00A56FAD">
        <w:rPr>
          <w:i/>
          <w:iCs/>
          <w:sz w:val="24"/>
          <w:szCs w:val="24"/>
        </w:rPr>
        <w:t xml:space="preserve">nine </w:t>
      </w:r>
      <w:r w:rsidRPr="00F55516">
        <w:rPr>
          <w:i/>
          <w:iCs/>
          <w:sz w:val="24"/>
          <w:szCs w:val="24"/>
        </w:rPr>
        <w:t>controls is t</w:t>
      </w:r>
      <w:r w:rsidR="007A077C" w:rsidRPr="00F55516">
        <w:rPr>
          <w:i/>
          <w:iCs/>
          <w:sz w:val="24"/>
          <w:szCs w:val="24"/>
        </w:rPr>
        <w:t>he set of actions schools MUST take, grouped into ‘prevention’ and ‘response to any infection</w:t>
      </w:r>
      <w:r w:rsidR="00D8762A" w:rsidRPr="00F55516">
        <w:rPr>
          <w:i/>
          <w:iCs/>
          <w:sz w:val="24"/>
          <w:szCs w:val="24"/>
        </w:rPr>
        <w:t>.</w:t>
      </w:r>
      <w:r w:rsidR="007A077C" w:rsidRPr="00F55516">
        <w:rPr>
          <w:i/>
          <w:iCs/>
          <w:sz w:val="24"/>
          <w:szCs w:val="24"/>
        </w:rPr>
        <w:t>’</w:t>
      </w:r>
    </w:p>
    <w:p w14:paraId="1D53ABD5" w14:textId="2B6FFD1E" w:rsidR="00876036" w:rsidRPr="00F55516" w:rsidRDefault="00604EAA" w:rsidP="00910152">
      <w:pPr>
        <w:rPr>
          <w:i/>
          <w:iCs/>
          <w:sz w:val="24"/>
          <w:szCs w:val="24"/>
        </w:rPr>
      </w:pPr>
      <w:r w:rsidRPr="00F55516">
        <w:rPr>
          <w:i/>
          <w:iCs/>
          <w:sz w:val="24"/>
          <w:szCs w:val="24"/>
        </w:rPr>
        <w:t>There is a lot of d</w:t>
      </w:r>
      <w:r w:rsidR="00876036" w:rsidRPr="00F55516">
        <w:rPr>
          <w:i/>
          <w:iCs/>
          <w:sz w:val="24"/>
          <w:szCs w:val="24"/>
        </w:rPr>
        <w:t xml:space="preserve">etailed guidance </w:t>
      </w:r>
      <w:r w:rsidRPr="00F55516">
        <w:rPr>
          <w:i/>
          <w:iCs/>
          <w:sz w:val="24"/>
          <w:szCs w:val="24"/>
        </w:rPr>
        <w:t>about the system of controls</w:t>
      </w:r>
      <w:r w:rsidR="00876036" w:rsidRPr="00F55516">
        <w:rPr>
          <w:i/>
          <w:iCs/>
          <w:sz w:val="24"/>
          <w:szCs w:val="24"/>
        </w:rPr>
        <w:t xml:space="preserve"> including how to group children, measures within the classroom, measures elsewhere and measures for arriving at and leaving school. Schools must work through the system of controls, adopting measures in a way that addresses the risk identified in their assessment, works for their school, and allows you to deliver a broad and balanced curriculum. If you follow the guidance set out here, you will effectively reduce risks in the school or groups of </w:t>
      </w:r>
      <w:r w:rsidR="00A52647" w:rsidRPr="00F55516">
        <w:rPr>
          <w:i/>
          <w:iCs/>
          <w:sz w:val="24"/>
          <w:szCs w:val="24"/>
        </w:rPr>
        <w:t>schools and</w:t>
      </w:r>
      <w:r w:rsidR="00876036" w:rsidRPr="00F55516">
        <w:rPr>
          <w:i/>
          <w:iCs/>
          <w:sz w:val="24"/>
          <w:szCs w:val="24"/>
        </w:rPr>
        <w:t xml:space="preserve"> create an inherently safer environment.</w:t>
      </w:r>
      <w:r w:rsidR="00F55516" w:rsidRPr="00F55516">
        <w:rPr>
          <w:i/>
          <w:iCs/>
          <w:sz w:val="24"/>
          <w:szCs w:val="24"/>
        </w:rPr>
        <w:t xml:space="preserve"> </w:t>
      </w:r>
    </w:p>
    <w:tbl>
      <w:tblPr>
        <w:tblStyle w:val="TableGrid"/>
        <w:tblW w:w="0" w:type="auto"/>
        <w:tblLook w:val="04A0" w:firstRow="1" w:lastRow="0" w:firstColumn="1" w:lastColumn="0" w:noHBand="0" w:noVBand="1"/>
      </w:tblPr>
      <w:tblGrid>
        <w:gridCol w:w="2122"/>
        <w:gridCol w:w="11826"/>
      </w:tblGrid>
      <w:tr w:rsidR="00890E48" w14:paraId="4E846F56" w14:textId="77777777" w:rsidTr="004B2E6D">
        <w:tc>
          <w:tcPr>
            <w:tcW w:w="2122" w:type="dxa"/>
            <w:shd w:val="clear" w:color="auto" w:fill="F2F2F2" w:themeFill="background1" w:themeFillShade="F2"/>
          </w:tcPr>
          <w:p w14:paraId="675161A2" w14:textId="77777777" w:rsidR="00BD469D" w:rsidRPr="00890E48" w:rsidRDefault="00BD469D" w:rsidP="00890E48"/>
          <w:p w14:paraId="31C13203" w14:textId="2DF508AB" w:rsidR="00890E48" w:rsidRPr="00890E48" w:rsidRDefault="00890E48" w:rsidP="00890E48">
            <w:pPr>
              <w:rPr>
                <w:b/>
                <w:bCs/>
              </w:rPr>
            </w:pPr>
            <w:r w:rsidRPr="00890E48">
              <w:rPr>
                <w:b/>
                <w:bCs/>
              </w:rPr>
              <w:t>A. Prevention</w:t>
            </w:r>
          </w:p>
          <w:p w14:paraId="7D8CF822" w14:textId="1A6BE9A0" w:rsidR="00890E48" w:rsidRDefault="00890E48" w:rsidP="00890E48"/>
        </w:tc>
        <w:tc>
          <w:tcPr>
            <w:tcW w:w="11826" w:type="dxa"/>
          </w:tcPr>
          <w:p w14:paraId="233AC4A1" w14:textId="441C0C5B" w:rsidR="009D30B4" w:rsidRDefault="009D30B4" w:rsidP="00890E48">
            <w:r>
              <w:t xml:space="preserve">You must always: </w:t>
            </w:r>
          </w:p>
          <w:p w14:paraId="0312D7A1" w14:textId="77777777" w:rsidR="00F80815" w:rsidRDefault="00F80815" w:rsidP="00890E48"/>
          <w:p w14:paraId="3A6B35FC" w14:textId="77777777" w:rsidR="009D30B4" w:rsidRDefault="009D30B4" w:rsidP="00890E48">
            <w:r>
              <w:t xml:space="preserve">1) Minimise contact with individuals who are required to self-isolate by ensuring they do not attend the school. </w:t>
            </w:r>
          </w:p>
          <w:p w14:paraId="0DB01DEF" w14:textId="77777777" w:rsidR="009D30B4" w:rsidRDefault="009D30B4" w:rsidP="00890E48">
            <w:r>
              <w:t xml:space="preserve">2) Ensure face coverings are used in recommended circumstances. </w:t>
            </w:r>
          </w:p>
          <w:p w14:paraId="09499C73" w14:textId="77777777" w:rsidR="009D30B4" w:rsidRDefault="009D30B4" w:rsidP="00890E48">
            <w:r>
              <w:t xml:space="preserve">3) Ensure everyone is advised to clean their hands thoroughly and more often than usual. </w:t>
            </w:r>
          </w:p>
          <w:p w14:paraId="6D95DC37" w14:textId="77777777" w:rsidR="009D30B4" w:rsidRDefault="009D30B4" w:rsidP="00890E48">
            <w:r>
              <w:t xml:space="preserve">4) Ensure good respiratory hygiene for everyone by promoting the ‘catch it, bin it, kill it’ approach. </w:t>
            </w:r>
          </w:p>
          <w:p w14:paraId="66E20F30" w14:textId="77777777" w:rsidR="009D30B4" w:rsidRDefault="009D30B4" w:rsidP="00890E48">
            <w:r>
              <w:t xml:space="preserve">5) Maintain enhanced cleaning, including cleaning frequently touched surfaces often, using standard products such as detergents. 6) Consider how to minimise contact across the site and maintain social distancing wherever possible. </w:t>
            </w:r>
          </w:p>
          <w:p w14:paraId="77C0C132" w14:textId="77777777" w:rsidR="00F80815" w:rsidRDefault="009D30B4" w:rsidP="00890E48">
            <w:r>
              <w:t xml:space="preserve">7) Keep occupied spaces well ventilated. </w:t>
            </w:r>
          </w:p>
          <w:p w14:paraId="516587B0" w14:textId="77777777" w:rsidR="00F80815" w:rsidRDefault="00F80815" w:rsidP="00890E48"/>
          <w:p w14:paraId="63AC5C28" w14:textId="77777777" w:rsidR="00F80815" w:rsidRDefault="009D30B4" w:rsidP="00890E48">
            <w:r>
              <w:t xml:space="preserve">In specific circumstances: </w:t>
            </w:r>
          </w:p>
          <w:p w14:paraId="68656714" w14:textId="77777777" w:rsidR="00F80815" w:rsidRDefault="009D30B4" w:rsidP="00890E48">
            <w:r>
              <w:t xml:space="preserve">8) Ensure individuals wear the appropriate personal protective equipment (PPE) where necessary. </w:t>
            </w:r>
          </w:p>
          <w:p w14:paraId="24182D09" w14:textId="35BF11EA" w:rsidR="001E693C" w:rsidRDefault="009D30B4" w:rsidP="00F80815">
            <w:r>
              <w:t xml:space="preserve">9) Promote and engage in asymptomatic testing, where available. </w:t>
            </w:r>
          </w:p>
        </w:tc>
      </w:tr>
      <w:tr w:rsidR="00890E48" w14:paraId="44D58A49" w14:textId="77777777" w:rsidTr="004B2E6D">
        <w:tc>
          <w:tcPr>
            <w:tcW w:w="2122" w:type="dxa"/>
            <w:shd w:val="clear" w:color="auto" w:fill="F2F2F2" w:themeFill="background1" w:themeFillShade="F2"/>
          </w:tcPr>
          <w:p w14:paraId="11780C57" w14:textId="77777777" w:rsidR="00890E48" w:rsidRDefault="00890E48" w:rsidP="00910152"/>
          <w:p w14:paraId="49B01181" w14:textId="77164F81" w:rsidR="00BD469D" w:rsidRPr="00AC6F03" w:rsidRDefault="00BD469D" w:rsidP="00910152">
            <w:pPr>
              <w:rPr>
                <w:b/>
                <w:bCs/>
              </w:rPr>
            </w:pPr>
            <w:r w:rsidRPr="00AC6F03">
              <w:rPr>
                <w:b/>
                <w:bCs/>
              </w:rPr>
              <w:t>B. Response to any infection</w:t>
            </w:r>
          </w:p>
        </w:tc>
        <w:tc>
          <w:tcPr>
            <w:tcW w:w="11826" w:type="dxa"/>
          </w:tcPr>
          <w:p w14:paraId="503E9098" w14:textId="747FEBA3" w:rsidR="00F80815" w:rsidRDefault="00F80815" w:rsidP="00F80815">
            <w:r>
              <w:t xml:space="preserve">You must always: </w:t>
            </w:r>
          </w:p>
          <w:p w14:paraId="6A7FBB85" w14:textId="77777777" w:rsidR="00F80815" w:rsidRDefault="00F80815" w:rsidP="00F80815"/>
          <w:p w14:paraId="60AC3142" w14:textId="77777777" w:rsidR="00F80815" w:rsidRDefault="00F80815" w:rsidP="00F80815">
            <w:r>
              <w:t xml:space="preserve">10) Promote and engage with the NHS Test and Trace process. </w:t>
            </w:r>
          </w:p>
          <w:p w14:paraId="6DF54AE2" w14:textId="77777777" w:rsidR="00F80815" w:rsidRDefault="00F80815" w:rsidP="00F80815">
            <w:r>
              <w:t xml:space="preserve">11) Manage and report confirmed cases of coronavirus (COVID-19) amongst the school community. </w:t>
            </w:r>
          </w:p>
          <w:p w14:paraId="6BF567D5" w14:textId="48EAACD5" w:rsidR="00F80815" w:rsidRDefault="00F80815" w:rsidP="00F80815">
            <w:r>
              <w:t>12) Contain any outbreak by following local health protection team advice</w:t>
            </w:r>
          </w:p>
          <w:p w14:paraId="029C64D9" w14:textId="1C4427C1" w:rsidR="00890E48" w:rsidRDefault="00890E48" w:rsidP="00F80815"/>
        </w:tc>
      </w:tr>
    </w:tbl>
    <w:p w14:paraId="1C385097" w14:textId="4526A149" w:rsidR="00493E9F" w:rsidRDefault="00493E9F" w:rsidP="00910152"/>
    <w:p w14:paraId="45E7357A" w14:textId="77777777" w:rsidR="00F80815" w:rsidRDefault="00F80815">
      <w:pPr>
        <w:rPr>
          <w:rFonts w:ascii="Calibri" w:eastAsia="Calibri" w:hAnsi="Calibri" w:cs="Calibri"/>
          <w:b/>
          <w:bCs/>
          <w:sz w:val="28"/>
          <w:szCs w:val="28"/>
        </w:rPr>
      </w:pPr>
      <w:r>
        <w:rPr>
          <w:rFonts w:ascii="Calibri" w:eastAsia="Calibri" w:hAnsi="Calibri" w:cs="Calibri"/>
          <w:b/>
          <w:bCs/>
          <w:sz w:val="28"/>
          <w:szCs w:val="28"/>
        </w:rPr>
        <w:br w:type="page"/>
      </w:r>
    </w:p>
    <w:p w14:paraId="396326ED" w14:textId="4149C3BE" w:rsidR="00493E9F" w:rsidRPr="00493E9F" w:rsidRDefault="00493E9F" w:rsidP="00493E9F">
      <w:pPr>
        <w:spacing w:after="0" w:line="276" w:lineRule="auto"/>
        <w:rPr>
          <w:rFonts w:ascii="Calibri" w:eastAsia="Calibri" w:hAnsi="Calibri" w:cs="Calibri"/>
          <w:b/>
          <w:bCs/>
          <w:sz w:val="28"/>
          <w:szCs w:val="28"/>
        </w:rPr>
      </w:pPr>
      <w:r w:rsidRPr="00493E9F">
        <w:rPr>
          <w:rFonts w:ascii="Calibri" w:eastAsia="Calibri" w:hAnsi="Calibri" w:cs="Calibri"/>
          <w:b/>
          <w:bCs/>
          <w:sz w:val="28"/>
          <w:szCs w:val="28"/>
        </w:rPr>
        <w:lastRenderedPageBreak/>
        <w:t xml:space="preserve">Annex B: Main </w:t>
      </w:r>
      <w:r w:rsidR="001E693C">
        <w:rPr>
          <w:rFonts w:ascii="Calibri" w:eastAsia="Calibri" w:hAnsi="Calibri" w:cs="Calibri"/>
          <w:b/>
          <w:bCs/>
          <w:sz w:val="28"/>
          <w:szCs w:val="28"/>
        </w:rPr>
        <w:t>C</w:t>
      </w:r>
      <w:r w:rsidRPr="00493E9F">
        <w:rPr>
          <w:rFonts w:ascii="Calibri" w:eastAsia="Calibri" w:hAnsi="Calibri" w:cs="Calibri"/>
          <w:b/>
          <w:bCs/>
          <w:sz w:val="28"/>
          <w:szCs w:val="28"/>
        </w:rPr>
        <w:t>hanges to the Academies Financial Handbook 2020</w:t>
      </w:r>
    </w:p>
    <w:p w14:paraId="45187E75" w14:textId="77777777" w:rsidR="00493E9F" w:rsidRDefault="00493E9F" w:rsidP="00493E9F">
      <w:pPr>
        <w:spacing w:after="0" w:line="276" w:lineRule="auto"/>
        <w:rPr>
          <w:rFonts w:ascii="Calibri" w:eastAsia="Calibri" w:hAnsi="Calibri" w:cs="Calibri"/>
        </w:rPr>
      </w:pPr>
    </w:p>
    <w:p w14:paraId="218D0AB2" w14:textId="64C29761" w:rsidR="00493E9F" w:rsidRPr="00493E9F" w:rsidRDefault="00493E9F" w:rsidP="00493E9F">
      <w:pPr>
        <w:spacing w:after="0" w:line="276" w:lineRule="auto"/>
        <w:rPr>
          <w:rFonts w:ascii="Calibri" w:eastAsia="Calibri" w:hAnsi="Calibri" w:cs="Calibri"/>
        </w:rPr>
      </w:pPr>
      <w:r w:rsidRPr="00493E9F">
        <w:rPr>
          <w:rFonts w:ascii="Calibri" w:eastAsia="Calibri" w:hAnsi="Calibri" w:cs="Calibri"/>
        </w:rPr>
        <w:t>The main changes</w:t>
      </w:r>
      <w:r w:rsidR="001E693C">
        <w:rPr>
          <w:rFonts w:ascii="Calibri" w:eastAsia="Calibri" w:hAnsi="Calibri" w:cs="Calibri"/>
        </w:rPr>
        <w:t xml:space="preserve"> to the Academies Financial Handbook 2020</w:t>
      </w:r>
      <w:r w:rsidRPr="00493E9F">
        <w:rPr>
          <w:rFonts w:ascii="Calibri" w:eastAsia="Calibri" w:hAnsi="Calibri" w:cs="Calibri"/>
        </w:rPr>
        <w:t>, are:</w:t>
      </w:r>
    </w:p>
    <w:p w14:paraId="3AE011A7" w14:textId="77777777" w:rsidR="00493E9F" w:rsidRPr="00493E9F" w:rsidRDefault="00493E9F" w:rsidP="00493E9F">
      <w:pPr>
        <w:spacing w:after="0" w:line="276" w:lineRule="auto"/>
        <w:rPr>
          <w:rFonts w:ascii="Calibri" w:eastAsia="Calibri" w:hAnsi="Calibri" w:cs="Calibri"/>
        </w:rPr>
      </w:pPr>
    </w:p>
    <w:p w14:paraId="4111F5FB" w14:textId="77777777" w:rsidR="00493E9F" w:rsidRPr="00493E9F" w:rsidRDefault="00493E9F" w:rsidP="00493E9F">
      <w:pPr>
        <w:numPr>
          <w:ilvl w:val="0"/>
          <w:numId w:val="38"/>
        </w:numPr>
        <w:spacing w:after="0" w:line="276" w:lineRule="auto"/>
        <w:contextualSpacing/>
        <w:rPr>
          <w:rFonts w:ascii="Calibri" w:eastAsia="Calibri" w:hAnsi="Calibri" w:cs="Calibri"/>
        </w:rPr>
      </w:pPr>
      <w:r w:rsidRPr="00493E9F">
        <w:rPr>
          <w:rFonts w:ascii="Calibri" w:eastAsia="Calibri" w:hAnsi="Calibri" w:cs="Calibri"/>
          <w:b/>
          <w:bCs/>
        </w:rPr>
        <w:t>Governance</w:t>
      </w:r>
      <w:r w:rsidRPr="00493E9F">
        <w:rPr>
          <w:rFonts w:ascii="Calibri" w:eastAsia="Calibri" w:hAnsi="Calibri" w:cs="Calibri"/>
        </w:rPr>
        <w:t xml:space="preserve">: Further information on governance arrangements including trustees’ responsibility to maintain the trust as a going concern [1.14, 2.5 and 2.8], confirmation that members must not be employees or occupy unpaid staff roles [1.4], that members must remain informed about trust business [1.8] and that trusts must appoint a clerk to the board [1.40]. Also clarifying that trusts must keep their register of interests up to date [5.46]. </w:t>
      </w:r>
    </w:p>
    <w:p w14:paraId="69166E81" w14:textId="77777777" w:rsidR="00493E9F" w:rsidRPr="00493E9F" w:rsidRDefault="00493E9F" w:rsidP="00493E9F">
      <w:pPr>
        <w:spacing w:after="0" w:line="276" w:lineRule="auto"/>
        <w:ind w:left="720"/>
        <w:contextualSpacing/>
        <w:rPr>
          <w:rFonts w:ascii="Calibri" w:eastAsia="Calibri" w:hAnsi="Calibri" w:cs="Calibri"/>
        </w:rPr>
      </w:pPr>
    </w:p>
    <w:p w14:paraId="1C9A4047" w14:textId="77777777" w:rsidR="00493E9F" w:rsidRPr="00493E9F" w:rsidRDefault="00493E9F" w:rsidP="00493E9F">
      <w:pPr>
        <w:numPr>
          <w:ilvl w:val="0"/>
          <w:numId w:val="38"/>
        </w:numPr>
        <w:spacing w:after="0" w:line="276" w:lineRule="auto"/>
        <w:contextualSpacing/>
        <w:rPr>
          <w:rFonts w:ascii="Calibri" w:eastAsia="Calibri" w:hAnsi="Calibri" w:cs="Calibri"/>
        </w:rPr>
      </w:pPr>
      <w:r w:rsidRPr="00493E9F">
        <w:rPr>
          <w:rFonts w:ascii="Calibri" w:eastAsia="Calibri" w:hAnsi="Calibri" w:cs="Calibri"/>
          <w:b/>
          <w:bCs/>
        </w:rPr>
        <w:t>Executive team</w:t>
      </w:r>
      <w:r w:rsidRPr="00493E9F">
        <w:rPr>
          <w:rFonts w:ascii="Calibri" w:eastAsia="Calibri" w:hAnsi="Calibri" w:cs="Calibri"/>
        </w:rPr>
        <w:t xml:space="preserve">: Confirmation that both the accounting officer and chief financial officer (CFO) should be employees, and a requirement for ESFA approval if, exceptionally, they are not [1.26 and 1.36]. Also encouraging larger trusts to consider relevant accountancy qualifications for their CFO, and for all CFOs to maintain professional development [1.37 and 1.38]. </w:t>
      </w:r>
    </w:p>
    <w:p w14:paraId="64A0AF78" w14:textId="77777777" w:rsidR="00493E9F" w:rsidRPr="00493E9F" w:rsidRDefault="00493E9F" w:rsidP="00493E9F">
      <w:pPr>
        <w:spacing w:after="0" w:line="276" w:lineRule="auto"/>
        <w:rPr>
          <w:rFonts w:ascii="Calibri" w:eastAsia="Calibri" w:hAnsi="Calibri" w:cs="Calibri"/>
        </w:rPr>
      </w:pPr>
    </w:p>
    <w:p w14:paraId="037879F8" w14:textId="77777777" w:rsidR="00493E9F" w:rsidRPr="00493E9F" w:rsidRDefault="00493E9F" w:rsidP="00493E9F">
      <w:pPr>
        <w:numPr>
          <w:ilvl w:val="0"/>
          <w:numId w:val="38"/>
        </w:numPr>
        <w:spacing w:after="0" w:line="276" w:lineRule="auto"/>
        <w:contextualSpacing/>
        <w:rPr>
          <w:rFonts w:ascii="Calibri" w:eastAsia="Calibri" w:hAnsi="Calibri" w:cs="Calibri"/>
        </w:rPr>
      </w:pPr>
      <w:r w:rsidRPr="00493E9F">
        <w:rPr>
          <w:rFonts w:ascii="Calibri" w:eastAsia="Calibri" w:hAnsi="Calibri" w:cs="Calibri"/>
          <w:b/>
          <w:bCs/>
        </w:rPr>
        <w:t>General controls and transparency</w:t>
      </w:r>
      <w:r w:rsidRPr="00493E9F">
        <w:rPr>
          <w:rFonts w:ascii="Calibri" w:eastAsia="Calibri" w:hAnsi="Calibri" w:cs="Calibri"/>
        </w:rPr>
        <w:t xml:space="preserve">: Updated clarifications including maintenance of a fixed asset register [2.7], termly review of pupil number projections [2.12], use of integrated curriculum and financial planning [2.13], avoidance of overdrafts [2.24], publication of information about high pay [2.32] and whistleblowing [2.44], confirmation that the trust’s funds must not be used to purchase alcohol [2.35], board and committee responsibilities for risk management [2.38, and 3.6 to 3.8] and completion of the School resource management self-assessment tool [6.8].   </w:t>
      </w:r>
    </w:p>
    <w:p w14:paraId="3FEBDDBC" w14:textId="77777777" w:rsidR="00493E9F" w:rsidRPr="00493E9F" w:rsidRDefault="00493E9F" w:rsidP="00493E9F">
      <w:pPr>
        <w:spacing w:after="0" w:line="276" w:lineRule="auto"/>
        <w:rPr>
          <w:rFonts w:ascii="Calibri" w:eastAsia="Calibri" w:hAnsi="Calibri" w:cs="Calibri"/>
        </w:rPr>
      </w:pPr>
    </w:p>
    <w:p w14:paraId="56A64971" w14:textId="77777777" w:rsidR="00493E9F" w:rsidRPr="00493E9F" w:rsidRDefault="00493E9F" w:rsidP="00493E9F">
      <w:pPr>
        <w:numPr>
          <w:ilvl w:val="0"/>
          <w:numId w:val="38"/>
        </w:numPr>
        <w:spacing w:after="0" w:line="276" w:lineRule="auto"/>
        <w:contextualSpacing/>
        <w:rPr>
          <w:rFonts w:ascii="Calibri" w:eastAsia="Calibri" w:hAnsi="Calibri" w:cs="Calibri"/>
        </w:rPr>
      </w:pPr>
      <w:r w:rsidRPr="00493E9F">
        <w:rPr>
          <w:rFonts w:ascii="Calibri" w:eastAsia="Calibri" w:hAnsi="Calibri" w:cs="Calibri"/>
          <w:b/>
          <w:bCs/>
        </w:rPr>
        <w:t>Internal scrutiny</w:t>
      </w:r>
      <w:r w:rsidRPr="00493E9F">
        <w:rPr>
          <w:rFonts w:ascii="Calibri" w:eastAsia="Calibri" w:hAnsi="Calibri" w:cs="Calibri"/>
        </w:rPr>
        <w:t xml:space="preserve">: Updated text including clarification that internal scrutiny covers both financial and non-financial controls [3.1], removal of the option for internal audit to be performed by the external auditor [3.17 and 3.20] and confirmation that trusts can use additional individuals or organisations to support internal scrutiny where specialist nonfinancial knowledge is required [3.18 and 3.23]. </w:t>
      </w:r>
    </w:p>
    <w:p w14:paraId="445C4D37" w14:textId="77777777" w:rsidR="00493E9F" w:rsidRPr="00493E9F" w:rsidRDefault="00493E9F" w:rsidP="00493E9F">
      <w:pPr>
        <w:spacing w:after="0" w:line="276" w:lineRule="auto"/>
        <w:rPr>
          <w:rFonts w:ascii="Calibri" w:eastAsia="Calibri" w:hAnsi="Calibri" w:cs="Calibri"/>
        </w:rPr>
      </w:pPr>
    </w:p>
    <w:p w14:paraId="240B16AA" w14:textId="77777777" w:rsidR="00493E9F" w:rsidRPr="00493E9F" w:rsidRDefault="00493E9F" w:rsidP="00493E9F">
      <w:pPr>
        <w:numPr>
          <w:ilvl w:val="0"/>
          <w:numId w:val="38"/>
        </w:numPr>
        <w:spacing w:after="0" w:line="276" w:lineRule="auto"/>
        <w:contextualSpacing/>
        <w:rPr>
          <w:rFonts w:ascii="Calibri" w:eastAsia="Calibri" w:hAnsi="Calibri" w:cs="Calibri"/>
        </w:rPr>
      </w:pPr>
      <w:r w:rsidRPr="00493E9F">
        <w:rPr>
          <w:rFonts w:ascii="Calibri" w:eastAsia="Calibri" w:hAnsi="Calibri" w:cs="Calibri"/>
          <w:b/>
          <w:bCs/>
        </w:rPr>
        <w:t>Annual accounts:</w:t>
      </w:r>
      <w:r w:rsidRPr="00493E9F">
        <w:rPr>
          <w:rFonts w:ascii="Calibri" w:eastAsia="Calibri" w:hAnsi="Calibri" w:cs="Calibri"/>
        </w:rPr>
        <w:t xml:space="preserve"> More on the audit and risk committee’s role in relation to external audit [4.17].</w:t>
      </w:r>
    </w:p>
    <w:p w14:paraId="76063C0B" w14:textId="683A599F" w:rsidR="00493E9F" w:rsidRDefault="00493E9F"/>
    <w:p w14:paraId="0829C2E6" w14:textId="77777777" w:rsidR="009A0F11" w:rsidRDefault="009A0F11" w:rsidP="00910152"/>
    <w:sectPr w:rsidR="009A0F11" w:rsidSect="00C5602D">
      <w:footerReference w:type="defaul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5A5FD" w14:textId="77777777" w:rsidR="007D3530" w:rsidRDefault="007D3530" w:rsidP="003D4D7C">
      <w:pPr>
        <w:spacing w:after="0" w:line="240" w:lineRule="auto"/>
      </w:pPr>
      <w:r>
        <w:separator/>
      </w:r>
    </w:p>
  </w:endnote>
  <w:endnote w:type="continuationSeparator" w:id="0">
    <w:p w14:paraId="1E508C7F" w14:textId="77777777" w:rsidR="007D3530" w:rsidRDefault="007D3530" w:rsidP="003D4D7C">
      <w:pPr>
        <w:spacing w:after="0" w:line="240" w:lineRule="auto"/>
      </w:pPr>
      <w:r>
        <w:continuationSeparator/>
      </w:r>
    </w:p>
  </w:endnote>
  <w:endnote w:type="continuationNotice" w:id="1">
    <w:p w14:paraId="64FE6895" w14:textId="77777777" w:rsidR="007D3530" w:rsidRDefault="007D3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1398"/>
      <w:docPartObj>
        <w:docPartGallery w:val="Page Numbers (Bottom of Page)"/>
        <w:docPartUnique/>
      </w:docPartObj>
    </w:sdtPr>
    <w:sdtEndPr>
      <w:rPr>
        <w:color w:val="7F7F7F" w:themeColor="background1" w:themeShade="7F"/>
        <w:spacing w:val="60"/>
      </w:rPr>
    </w:sdtEndPr>
    <w:sdtContent>
      <w:p w14:paraId="25EFA75F" w14:textId="3797D593" w:rsidR="00767E66" w:rsidRDefault="004B2E6D">
        <w:pPr>
          <w:pStyle w:val="Footer"/>
          <w:pBdr>
            <w:top w:val="single" w:sz="4" w:space="1" w:color="D9D9D9" w:themeColor="background1" w:themeShade="D9"/>
          </w:pBdr>
          <w:rPr>
            <w:b/>
            <w:bCs/>
          </w:rPr>
        </w:pPr>
        <w:r>
          <w:rPr>
            <w:noProof/>
            <w:lang w:eastAsia="en-GB"/>
          </w:rPr>
          <w:drawing>
            <wp:anchor distT="0" distB="0" distL="114300" distR="114300" simplePos="0" relativeHeight="251659264" behindDoc="0" locked="0" layoutInCell="1" allowOverlap="1" wp14:anchorId="19D7860E" wp14:editId="4E2831A7">
              <wp:simplePos x="0" y="0"/>
              <wp:positionH relativeFrom="margin">
                <wp:align>right</wp:align>
              </wp:positionH>
              <wp:positionV relativeFrom="paragraph">
                <wp:posOffset>53340</wp:posOffset>
              </wp:positionV>
              <wp:extent cx="638175" cy="368014"/>
              <wp:effectExtent l="0" t="0" r="0" b="0"/>
              <wp:wrapNone/>
              <wp:docPr id="2" name="Picture 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8175" cy="368014"/>
                      </a:xfrm>
                      <a:prstGeom prst="rect">
                        <a:avLst/>
                      </a:prstGeom>
                    </pic:spPr>
                  </pic:pic>
                </a:graphicData>
              </a:graphic>
              <wp14:sizeRelH relativeFrom="margin">
                <wp14:pctWidth>0</wp14:pctWidth>
              </wp14:sizeRelH>
              <wp14:sizeRelV relativeFrom="margin">
                <wp14:pctHeight>0</wp14:pctHeight>
              </wp14:sizeRelV>
            </wp:anchor>
          </w:drawing>
        </w:r>
        <w:r w:rsidR="00767E66">
          <w:fldChar w:fldCharType="begin"/>
        </w:r>
        <w:r w:rsidR="00767E66">
          <w:instrText xml:space="preserve"> PAGE   \* MERGEFORMAT </w:instrText>
        </w:r>
        <w:r w:rsidR="00767E66">
          <w:fldChar w:fldCharType="separate"/>
        </w:r>
        <w:r w:rsidR="00D67975" w:rsidRPr="00D67975">
          <w:rPr>
            <w:b/>
            <w:bCs/>
            <w:noProof/>
          </w:rPr>
          <w:t>1</w:t>
        </w:r>
        <w:r w:rsidR="00767E66">
          <w:rPr>
            <w:b/>
            <w:bCs/>
            <w:noProof/>
          </w:rPr>
          <w:fldChar w:fldCharType="end"/>
        </w:r>
        <w:r w:rsidR="00767E66">
          <w:rPr>
            <w:b/>
            <w:bCs/>
          </w:rPr>
          <w:t xml:space="preserve"> | </w:t>
        </w:r>
        <w:r w:rsidR="00767E66">
          <w:rPr>
            <w:color w:val="7F7F7F" w:themeColor="background1" w:themeShade="7F"/>
            <w:spacing w:val="60"/>
          </w:rPr>
          <w:t>Page</w:t>
        </w:r>
        <w:r w:rsidR="00767E66" w:rsidRPr="00767E66">
          <w:rPr>
            <w:color w:val="7F7F7F" w:themeColor="background1" w:themeShade="7F"/>
            <w:spacing w:val="60"/>
          </w:rPr>
          <w:t>©20</w:t>
        </w:r>
        <w:r w:rsidR="00767E66">
          <w:rPr>
            <w:color w:val="7F7F7F" w:themeColor="background1" w:themeShade="7F"/>
            <w:spacing w:val="60"/>
          </w:rPr>
          <w:t>2</w:t>
        </w:r>
        <w:r w:rsidR="00F80815">
          <w:rPr>
            <w:color w:val="7F7F7F" w:themeColor="background1" w:themeShade="7F"/>
            <w:spacing w:val="60"/>
          </w:rPr>
          <w:t>1</w:t>
        </w:r>
        <w:r w:rsidR="00767E66" w:rsidRPr="00767E66">
          <w:rPr>
            <w:color w:val="7F7F7F" w:themeColor="background1" w:themeShade="7F"/>
            <w:spacing w:val="60"/>
          </w:rPr>
          <w:t xml:space="preserve"> CST</w:t>
        </w:r>
      </w:p>
    </w:sdtContent>
  </w:sdt>
  <w:p w14:paraId="047DEF7E" w14:textId="52A5A42B" w:rsidR="003D4D7C" w:rsidRDefault="003D4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9FE75" w14:textId="77777777" w:rsidR="007D3530" w:rsidRDefault="007D3530" w:rsidP="003D4D7C">
      <w:pPr>
        <w:spacing w:after="0" w:line="240" w:lineRule="auto"/>
      </w:pPr>
      <w:r>
        <w:separator/>
      </w:r>
    </w:p>
  </w:footnote>
  <w:footnote w:type="continuationSeparator" w:id="0">
    <w:p w14:paraId="17887569" w14:textId="77777777" w:rsidR="007D3530" w:rsidRDefault="007D3530" w:rsidP="003D4D7C">
      <w:pPr>
        <w:spacing w:after="0" w:line="240" w:lineRule="auto"/>
      </w:pPr>
      <w:r>
        <w:continuationSeparator/>
      </w:r>
    </w:p>
  </w:footnote>
  <w:footnote w:type="continuationNotice" w:id="1">
    <w:p w14:paraId="34DBC2DE" w14:textId="77777777" w:rsidR="007D3530" w:rsidRDefault="007D353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16FFD"/>
    <w:multiLevelType w:val="hybridMultilevel"/>
    <w:tmpl w:val="F4DAE1E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0230BF"/>
    <w:multiLevelType w:val="hybridMultilevel"/>
    <w:tmpl w:val="757A5F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4B6FDD"/>
    <w:multiLevelType w:val="hybridMultilevel"/>
    <w:tmpl w:val="994458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1217A"/>
    <w:multiLevelType w:val="hybridMultilevel"/>
    <w:tmpl w:val="0F9E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47D1F"/>
    <w:multiLevelType w:val="hybridMultilevel"/>
    <w:tmpl w:val="2716D26E"/>
    <w:lvl w:ilvl="0" w:tplc="08090001">
      <w:start w:val="1"/>
      <w:numFmt w:val="bullet"/>
      <w:lvlText w:val=""/>
      <w:lvlJc w:val="left"/>
      <w:pPr>
        <w:ind w:left="720" w:hanging="360"/>
      </w:pPr>
      <w:rPr>
        <w:rFonts w:ascii="Symbol" w:hAnsi="Symbol" w:hint="default"/>
      </w:rPr>
    </w:lvl>
    <w:lvl w:ilvl="1" w:tplc="3D0A0E4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84A6F"/>
    <w:multiLevelType w:val="hybridMultilevel"/>
    <w:tmpl w:val="6D24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62EE0"/>
    <w:multiLevelType w:val="hybridMultilevel"/>
    <w:tmpl w:val="0C7646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FA37606"/>
    <w:multiLevelType w:val="hybridMultilevel"/>
    <w:tmpl w:val="22A46600"/>
    <w:lvl w:ilvl="0" w:tplc="14AC503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22BF42F6"/>
    <w:multiLevelType w:val="hybridMultilevel"/>
    <w:tmpl w:val="46742C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905D76"/>
    <w:multiLevelType w:val="hybridMultilevel"/>
    <w:tmpl w:val="53C06F3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F14E87"/>
    <w:multiLevelType w:val="hybridMultilevel"/>
    <w:tmpl w:val="AFA2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81E05"/>
    <w:multiLevelType w:val="hybridMultilevel"/>
    <w:tmpl w:val="B882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82D93"/>
    <w:multiLevelType w:val="hybridMultilevel"/>
    <w:tmpl w:val="18D4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9601F"/>
    <w:multiLevelType w:val="hybridMultilevel"/>
    <w:tmpl w:val="A63E11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85922"/>
    <w:multiLevelType w:val="hybridMultilevel"/>
    <w:tmpl w:val="55B0A9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DD25BA9"/>
    <w:multiLevelType w:val="hybridMultilevel"/>
    <w:tmpl w:val="63EA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5402A2"/>
    <w:multiLevelType w:val="hybridMultilevel"/>
    <w:tmpl w:val="72408C52"/>
    <w:lvl w:ilvl="0" w:tplc="BE507630">
      <w:start w:val="8"/>
      <w:numFmt w:val="bullet"/>
      <w:lvlText w:val="-"/>
      <w:lvlJc w:val="left"/>
      <w:pPr>
        <w:ind w:left="1434" w:hanging="360"/>
      </w:pPr>
      <w:rPr>
        <w:rFonts w:ascii="Calibri" w:eastAsiaTheme="minorHAnsi" w:hAnsi="Calibri" w:cs="Calibri"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cs="Wingdings" w:hint="default"/>
      </w:rPr>
    </w:lvl>
    <w:lvl w:ilvl="3" w:tplc="08090001" w:tentative="1">
      <w:start w:val="1"/>
      <w:numFmt w:val="bullet"/>
      <w:lvlText w:val=""/>
      <w:lvlJc w:val="left"/>
      <w:pPr>
        <w:ind w:left="3594" w:hanging="360"/>
      </w:pPr>
      <w:rPr>
        <w:rFonts w:ascii="Symbol" w:hAnsi="Symbol" w:cs="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cs="Wingdings" w:hint="default"/>
      </w:rPr>
    </w:lvl>
    <w:lvl w:ilvl="6" w:tplc="08090001" w:tentative="1">
      <w:start w:val="1"/>
      <w:numFmt w:val="bullet"/>
      <w:lvlText w:val=""/>
      <w:lvlJc w:val="left"/>
      <w:pPr>
        <w:ind w:left="5754" w:hanging="360"/>
      </w:pPr>
      <w:rPr>
        <w:rFonts w:ascii="Symbol" w:hAnsi="Symbol" w:cs="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cs="Wingdings" w:hint="default"/>
      </w:rPr>
    </w:lvl>
  </w:abstractNum>
  <w:abstractNum w:abstractNumId="17" w15:restartNumberingAfterBreak="0">
    <w:nsid w:val="419B2BA5"/>
    <w:multiLevelType w:val="hybridMultilevel"/>
    <w:tmpl w:val="2BBE9A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27847C4"/>
    <w:multiLevelType w:val="hybridMultilevel"/>
    <w:tmpl w:val="814CB6E6"/>
    <w:lvl w:ilvl="0" w:tplc="08090001">
      <w:start w:val="1"/>
      <w:numFmt w:val="bullet"/>
      <w:lvlText w:val=""/>
      <w:lvlJc w:val="left"/>
      <w:pPr>
        <w:ind w:left="1074" w:hanging="360"/>
      </w:pPr>
      <w:rPr>
        <w:rFonts w:ascii="Symbol" w:hAnsi="Symbol" w:cs="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cs="Wingdings" w:hint="default"/>
      </w:rPr>
    </w:lvl>
    <w:lvl w:ilvl="3" w:tplc="08090001" w:tentative="1">
      <w:start w:val="1"/>
      <w:numFmt w:val="bullet"/>
      <w:lvlText w:val=""/>
      <w:lvlJc w:val="left"/>
      <w:pPr>
        <w:ind w:left="3234" w:hanging="360"/>
      </w:pPr>
      <w:rPr>
        <w:rFonts w:ascii="Symbol" w:hAnsi="Symbol" w:cs="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cs="Wingdings" w:hint="default"/>
      </w:rPr>
    </w:lvl>
    <w:lvl w:ilvl="6" w:tplc="08090001" w:tentative="1">
      <w:start w:val="1"/>
      <w:numFmt w:val="bullet"/>
      <w:lvlText w:val=""/>
      <w:lvlJc w:val="left"/>
      <w:pPr>
        <w:ind w:left="5394" w:hanging="360"/>
      </w:pPr>
      <w:rPr>
        <w:rFonts w:ascii="Symbol" w:hAnsi="Symbol" w:cs="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cs="Wingdings" w:hint="default"/>
      </w:rPr>
    </w:lvl>
  </w:abstractNum>
  <w:abstractNum w:abstractNumId="19" w15:restartNumberingAfterBreak="0">
    <w:nsid w:val="4356769F"/>
    <w:multiLevelType w:val="hybridMultilevel"/>
    <w:tmpl w:val="F9AE534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56D261F"/>
    <w:multiLevelType w:val="hybridMultilevel"/>
    <w:tmpl w:val="5A2EFB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5DE213C"/>
    <w:multiLevelType w:val="hybridMultilevel"/>
    <w:tmpl w:val="E16C72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71D6531"/>
    <w:multiLevelType w:val="hybridMultilevel"/>
    <w:tmpl w:val="4182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671625"/>
    <w:multiLevelType w:val="hybridMultilevel"/>
    <w:tmpl w:val="8D7A07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FE018C6"/>
    <w:multiLevelType w:val="hybridMultilevel"/>
    <w:tmpl w:val="777652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FE7041B"/>
    <w:multiLevelType w:val="hybridMultilevel"/>
    <w:tmpl w:val="95681CAE"/>
    <w:lvl w:ilvl="0" w:tplc="13F62A00">
      <w:start w:val="1"/>
      <w:numFmt w:val="decimal"/>
      <w:lvlText w:val="%1)"/>
      <w:lvlJc w:val="left"/>
      <w:pPr>
        <w:ind w:left="6" w:hanging="360"/>
      </w:pPr>
    </w:lvl>
    <w:lvl w:ilvl="1" w:tplc="08090019">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6" w15:restartNumberingAfterBreak="0">
    <w:nsid w:val="4FEC4757"/>
    <w:multiLevelType w:val="hybridMultilevel"/>
    <w:tmpl w:val="36388E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4FB65D4"/>
    <w:multiLevelType w:val="hybridMultilevel"/>
    <w:tmpl w:val="6152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24915"/>
    <w:multiLevelType w:val="hybridMultilevel"/>
    <w:tmpl w:val="38F8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A1909"/>
    <w:multiLevelType w:val="hybridMultilevel"/>
    <w:tmpl w:val="5A78033E"/>
    <w:lvl w:ilvl="0" w:tplc="14AC503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5FA92DDE"/>
    <w:multiLevelType w:val="hybridMultilevel"/>
    <w:tmpl w:val="B378934A"/>
    <w:lvl w:ilvl="0" w:tplc="14AC503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1" w15:restartNumberingAfterBreak="0">
    <w:nsid w:val="61B765F7"/>
    <w:multiLevelType w:val="hybridMultilevel"/>
    <w:tmpl w:val="145C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A37B9"/>
    <w:multiLevelType w:val="hybridMultilevel"/>
    <w:tmpl w:val="C018FC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8E44594"/>
    <w:multiLevelType w:val="multilevel"/>
    <w:tmpl w:val="EE78F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7B4F2B"/>
    <w:multiLevelType w:val="hybridMultilevel"/>
    <w:tmpl w:val="DB3A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045CD"/>
    <w:multiLevelType w:val="hybridMultilevel"/>
    <w:tmpl w:val="D64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1F3C63"/>
    <w:multiLevelType w:val="hybridMultilevel"/>
    <w:tmpl w:val="E3B2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847C4"/>
    <w:multiLevelType w:val="hybridMultilevel"/>
    <w:tmpl w:val="D4A0B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F96EFF"/>
    <w:multiLevelType w:val="hybridMultilevel"/>
    <w:tmpl w:val="040A2EFA"/>
    <w:lvl w:ilvl="0" w:tplc="08090001">
      <w:start w:val="1"/>
      <w:numFmt w:val="bullet"/>
      <w:lvlText w:val=""/>
      <w:lvlJc w:val="left"/>
      <w:pPr>
        <w:ind w:left="-1065" w:hanging="360"/>
      </w:pPr>
      <w:rPr>
        <w:rFonts w:ascii="Symbol" w:hAnsi="Symbol" w:cs="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cs="Wingdings" w:hint="default"/>
      </w:rPr>
    </w:lvl>
    <w:lvl w:ilvl="3" w:tplc="08090001" w:tentative="1">
      <w:start w:val="1"/>
      <w:numFmt w:val="bullet"/>
      <w:lvlText w:val=""/>
      <w:lvlJc w:val="left"/>
      <w:pPr>
        <w:ind w:left="1095" w:hanging="360"/>
      </w:pPr>
      <w:rPr>
        <w:rFonts w:ascii="Symbol" w:hAnsi="Symbol" w:cs="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cs="Wingdings" w:hint="default"/>
      </w:rPr>
    </w:lvl>
    <w:lvl w:ilvl="6" w:tplc="08090001" w:tentative="1">
      <w:start w:val="1"/>
      <w:numFmt w:val="bullet"/>
      <w:lvlText w:val=""/>
      <w:lvlJc w:val="left"/>
      <w:pPr>
        <w:ind w:left="3255" w:hanging="360"/>
      </w:pPr>
      <w:rPr>
        <w:rFonts w:ascii="Symbol" w:hAnsi="Symbol" w:cs="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cs="Wingdings" w:hint="default"/>
      </w:rPr>
    </w:lvl>
  </w:abstractNum>
  <w:num w:numId="1">
    <w:abstractNumId w:val="38"/>
  </w:num>
  <w:num w:numId="2">
    <w:abstractNumId w:val="19"/>
  </w:num>
  <w:num w:numId="3">
    <w:abstractNumId w:val="18"/>
  </w:num>
  <w:num w:numId="4">
    <w:abstractNumId w:val="16"/>
  </w:num>
  <w:num w:numId="5">
    <w:abstractNumId w:val="32"/>
  </w:num>
  <w:num w:numId="6">
    <w:abstractNumId w:val="0"/>
  </w:num>
  <w:num w:numId="7">
    <w:abstractNumId w:val="23"/>
  </w:num>
  <w:num w:numId="8">
    <w:abstractNumId w:val="21"/>
  </w:num>
  <w:num w:numId="9">
    <w:abstractNumId w:val="14"/>
  </w:num>
  <w:num w:numId="10">
    <w:abstractNumId w:val="24"/>
  </w:num>
  <w:num w:numId="11">
    <w:abstractNumId w:val="29"/>
  </w:num>
  <w:num w:numId="12">
    <w:abstractNumId w:val="6"/>
  </w:num>
  <w:num w:numId="13">
    <w:abstractNumId w:val="26"/>
  </w:num>
  <w:num w:numId="14">
    <w:abstractNumId w:val="30"/>
  </w:num>
  <w:num w:numId="15">
    <w:abstractNumId w:val="7"/>
  </w:num>
  <w:num w:numId="16">
    <w:abstractNumId w:val="5"/>
  </w:num>
  <w:num w:numId="17">
    <w:abstractNumId w:val="3"/>
  </w:num>
  <w:num w:numId="18">
    <w:abstractNumId w:val="34"/>
  </w:num>
  <w:num w:numId="19">
    <w:abstractNumId w:val="12"/>
  </w:num>
  <w:num w:numId="20">
    <w:abstractNumId w:val="36"/>
  </w:num>
  <w:num w:numId="21">
    <w:abstractNumId w:val="22"/>
  </w:num>
  <w:num w:numId="22">
    <w:abstractNumId w:val="4"/>
  </w:num>
  <w:num w:numId="23">
    <w:abstractNumId w:val="28"/>
  </w:num>
  <w:num w:numId="24">
    <w:abstractNumId w:val="10"/>
  </w:num>
  <w:num w:numId="25">
    <w:abstractNumId w:val="11"/>
  </w:num>
  <w:num w:numId="26">
    <w:abstractNumId w:val="35"/>
  </w:num>
  <w:num w:numId="27">
    <w:abstractNumId w:val="27"/>
  </w:num>
  <w:num w:numId="28">
    <w:abstractNumId w:val="15"/>
  </w:num>
  <w:num w:numId="29">
    <w:abstractNumId w:val="1"/>
  </w:num>
  <w:num w:numId="30">
    <w:abstractNumId w:val="17"/>
  </w:num>
  <w:num w:numId="31">
    <w:abstractNumId w:val="20"/>
  </w:num>
  <w:num w:numId="32">
    <w:abstractNumId w:val="8"/>
  </w:num>
  <w:num w:numId="33">
    <w:abstractNumId w:val="37"/>
  </w:num>
  <w:num w:numId="34">
    <w:abstractNumId w:val="25"/>
  </w:num>
  <w:num w:numId="35">
    <w:abstractNumId w:val="13"/>
  </w:num>
  <w:num w:numId="36">
    <w:abstractNumId w:val="2"/>
  </w:num>
  <w:num w:numId="37">
    <w:abstractNumId w:val="9"/>
  </w:num>
  <w:num w:numId="38">
    <w:abstractNumId w:val="3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2D"/>
    <w:rsid w:val="00011B01"/>
    <w:rsid w:val="0001502B"/>
    <w:rsid w:val="000179D2"/>
    <w:rsid w:val="00017C73"/>
    <w:rsid w:val="000241AC"/>
    <w:rsid w:val="00027437"/>
    <w:rsid w:val="000307DB"/>
    <w:rsid w:val="00050B86"/>
    <w:rsid w:val="00051799"/>
    <w:rsid w:val="00064305"/>
    <w:rsid w:val="000704B4"/>
    <w:rsid w:val="00075DC0"/>
    <w:rsid w:val="00082397"/>
    <w:rsid w:val="0008678B"/>
    <w:rsid w:val="00092C13"/>
    <w:rsid w:val="000A349B"/>
    <w:rsid w:val="000A694D"/>
    <w:rsid w:val="000A6D9C"/>
    <w:rsid w:val="000B0F54"/>
    <w:rsid w:val="000B1C62"/>
    <w:rsid w:val="000B1D33"/>
    <w:rsid w:val="000B7267"/>
    <w:rsid w:val="000C3652"/>
    <w:rsid w:val="000C7494"/>
    <w:rsid w:val="000D1BD8"/>
    <w:rsid w:val="000E151A"/>
    <w:rsid w:val="000E5088"/>
    <w:rsid w:val="000E620C"/>
    <w:rsid w:val="000F1E97"/>
    <w:rsid w:val="000F2A14"/>
    <w:rsid w:val="000F3978"/>
    <w:rsid w:val="000F4D5F"/>
    <w:rsid w:val="000F64C1"/>
    <w:rsid w:val="00102625"/>
    <w:rsid w:val="00106C36"/>
    <w:rsid w:val="00113E13"/>
    <w:rsid w:val="00120E53"/>
    <w:rsid w:val="0012167E"/>
    <w:rsid w:val="00140114"/>
    <w:rsid w:val="0014085E"/>
    <w:rsid w:val="001417CD"/>
    <w:rsid w:val="00155A45"/>
    <w:rsid w:val="0015676D"/>
    <w:rsid w:val="00156C8D"/>
    <w:rsid w:val="0016142A"/>
    <w:rsid w:val="00161441"/>
    <w:rsid w:val="00164487"/>
    <w:rsid w:val="00176E71"/>
    <w:rsid w:val="0018563D"/>
    <w:rsid w:val="001856E3"/>
    <w:rsid w:val="00196697"/>
    <w:rsid w:val="001A594C"/>
    <w:rsid w:val="001C5F0D"/>
    <w:rsid w:val="001E4DAF"/>
    <w:rsid w:val="001E693C"/>
    <w:rsid w:val="001E702A"/>
    <w:rsid w:val="001F0776"/>
    <w:rsid w:val="00202E59"/>
    <w:rsid w:val="00210613"/>
    <w:rsid w:val="00210AE5"/>
    <w:rsid w:val="0021241B"/>
    <w:rsid w:val="002124FA"/>
    <w:rsid w:val="00214F25"/>
    <w:rsid w:val="00220E4F"/>
    <w:rsid w:val="002234A0"/>
    <w:rsid w:val="00223C0D"/>
    <w:rsid w:val="00226289"/>
    <w:rsid w:val="0022739C"/>
    <w:rsid w:val="00237C7D"/>
    <w:rsid w:val="00245395"/>
    <w:rsid w:val="0026730D"/>
    <w:rsid w:val="00272A7B"/>
    <w:rsid w:val="00282403"/>
    <w:rsid w:val="002870AC"/>
    <w:rsid w:val="0029187C"/>
    <w:rsid w:val="0029625C"/>
    <w:rsid w:val="002A6BA4"/>
    <w:rsid w:val="002A77CE"/>
    <w:rsid w:val="002B0950"/>
    <w:rsid w:val="002B1901"/>
    <w:rsid w:val="002C1BF2"/>
    <w:rsid w:val="002C2E6D"/>
    <w:rsid w:val="002C3909"/>
    <w:rsid w:val="002C48EA"/>
    <w:rsid w:val="002D32EE"/>
    <w:rsid w:val="002D7D1D"/>
    <w:rsid w:val="002E1E50"/>
    <w:rsid w:val="002E213C"/>
    <w:rsid w:val="002E7047"/>
    <w:rsid w:val="002F1803"/>
    <w:rsid w:val="002F383B"/>
    <w:rsid w:val="002F5523"/>
    <w:rsid w:val="002F6D4A"/>
    <w:rsid w:val="00303FB9"/>
    <w:rsid w:val="00325A32"/>
    <w:rsid w:val="00332C3A"/>
    <w:rsid w:val="0033494F"/>
    <w:rsid w:val="003358F6"/>
    <w:rsid w:val="00336272"/>
    <w:rsid w:val="00357A25"/>
    <w:rsid w:val="00364239"/>
    <w:rsid w:val="00367C5D"/>
    <w:rsid w:val="0038094A"/>
    <w:rsid w:val="00384CF7"/>
    <w:rsid w:val="003960FF"/>
    <w:rsid w:val="0039712F"/>
    <w:rsid w:val="003B1FA0"/>
    <w:rsid w:val="003B286C"/>
    <w:rsid w:val="003C60BB"/>
    <w:rsid w:val="003D4D7C"/>
    <w:rsid w:val="003E54B7"/>
    <w:rsid w:val="003F1889"/>
    <w:rsid w:val="003F4061"/>
    <w:rsid w:val="003F7ADD"/>
    <w:rsid w:val="004129D6"/>
    <w:rsid w:val="004140A8"/>
    <w:rsid w:val="004214C8"/>
    <w:rsid w:val="00426572"/>
    <w:rsid w:val="004301B0"/>
    <w:rsid w:val="00434945"/>
    <w:rsid w:val="00437AC5"/>
    <w:rsid w:val="00444E20"/>
    <w:rsid w:val="00446F09"/>
    <w:rsid w:val="00450C48"/>
    <w:rsid w:val="00451C5A"/>
    <w:rsid w:val="0045641B"/>
    <w:rsid w:val="00457980"/>
    <w:rsid w:val="0046171F"/>
    <w:rsid w:val="00461B54"/>
    <w:rsid w:val="00462985"/>
    <w:rsid w:val="00463310"/>
    <w:rsid w:val="00471F1E"/>
    <w:rsid w:val="004811C2"/>
    <w:rsid w:val="00481A25"/>
    <w:rsid w:val="004822D3"/>
    <w:rsid w:val="00483677"/>
    <w:rsid w:val="00483ADD"/>
    <w:rsid w:val="00486975"/>
    <w:rsid w:val="00493E9F"/>
    <w:rsid w:val="004A2AC2"/>
    <w:rsid w:val="004A332E"/>
    <w:rsid w:val="004A6695"/>
    <w:rsid w:val="004B2E6D"/>
    <w:rsid w:val="004B4D38"/>
    <w:rsid w:val="004B5FEB"/>
    <w:rsid w:val="004C4358"/>
    <w:rsid w:val="004C4AB3"/>
    <w:rsid w:val="004E373B"/>
    <w:rsid w:val="005008BF"/>
    <w:rsid w:val="00512BD8"/>
    <w:rsid w:val="005315CA"/>
    <w:rsid w:val="00533A46"/>
    <w:rsid w:val="00542A9B"/>
    <w:rsid w:val="00543252"/>
    <w:rsid w:val="00556806"/>
    <w:rsid w:val="00565317"/>
    <w:rsid w:val="00565957"/>
    <w:rsid w:val="00570C05"/>
    <w:rsid w:val="00571696"/>
    <w:rsid w:val="00585B01"/>
    <w:rsid w:val="005866AE"/>
    <w:rsid w:val="00590B1E"/>
    <w:rsid w:val="00597CB5"/>
    <w:rsid w:val="005A7246"/>
    <w:rsid w:val="005B0321"/>
    <w:rsid w:val="005B6387"/>
    <w:rsid w:val="005C0825"/>
    <w:rsid w:val="005C285C"/>
    <w:rsid w:val="005D0F55"/>
    <w:rsid w:val="005D795A"/>
    <w:rsid w:val="005E088F"/>
    <w:rsid w:val="005E5364"/>
    <w:rsid w:val="005F2733"/>
    <w:rsid w:val="005F59AA"/>
    <w:rsid w:val="005F6710"/>
    <w:rsid w:val="005F6AC7"/>
    <w:rsid w:val="005F6BBD"/>
    <w:rsid w:val="00604EAA"/>
    <w:rsid w:val="00610662"/>
    <w:rsid w:val="0061467D"/>
    <w:rsid w:val="00621756"/>
    <w:rsid w:val="0064616E"/>
    <w:rsid w:val="00646D69"/>
    <w:rsid w:val="0065042B"/>
    <w:rsid w:val="00664E33"/>
    <w:rsid w:val="00666DEA"/>
    <w:rsid w:val="006715BA"/>
    <w:rsid w:val="00674D62"/>
    <w:rsid w:val="006A0162"/>
    <w:rsid w:val="006A2908"/>
    <w:rsid w:val="006A34A2"/>
    <w:rsid w:val="006A3872"/>
    <w:rsid w:val="006A790F"/>
    <w:rsid w:val="006B5A18"/>
    <w:rsid w:val="006C341E"/>
    <w:rsid w:val="006C4040"/>
    <w:rsid w:val="006D4078"/>
    <w:rsid w:val="006D557D"/>
    <w:rsid w:val="006E6B7B"/>
    <w:rsid w:val="006F1321"/>
    <w:rsid w:val="00702642"/>
    <w:rsid w:val="00710392"/>
    <w:rsid w:val="00711880"/>
    <w:rsid w:val="00712B1A"/>
    <w:rsid w:val="0071305B"/>
    <w:rsid w:val="00714B5F"/>
    <w:rsid w:val="00726D8E"/>
    <w:rsid w:val="00734B74"/>
    <w:rsid w:val="007421D8"/>
    <w:rsid w:val="0074326F"/>
    <w:rsid w:val="0074347B"/>
    <w:rsid w:val="007477C0"/>
    <w:rsid w:val="00752439"/>
    <w:rsid w:val="007644D1"/>
    <w:rsid w:val="00767E66"/>
    <w:rsid w:val="00784E64"/>
    <w:rsid w:val="007A077C"/>
    <w:rsid w:val="007A385A"/>
    <w:rsid w:val="007A7D78"/>
    <w:rsid w:val="007B4405"/>
    <w:rsid w:val="007B6049"/>
    <w:rsid w:val="007C5451"/>
    <w:rsid w:val="007D3530"/>
    <w:rsid w:val="007F31F3"/>
    <w:rsid w:val="007F37AE"/>
    <w:rsid w:val="007F41DA"/>
    <w:rsid w:val="007F6F6B"/>
    <w:rsid w:val="008107D4"/>
    <w:rsid w:val="00812649"/>
    <w:rsid w:val="0081348E"/>
    <w:rsid w:val="00814E0F"/>
    <w:rsid w:val="00814E9F"/>
    <w:rsid w:val="0081630A"/>
    <w:rsid w:val="008172B3"/>
    <w:rsid w:val="00821ABF"/>
    <w:rsid w:val="00830243"/>
    <w:rsid w:val="00841CB7"/>
    <w:rsid w:val="00851B6A"/>
    <w:rsid w:val="00857548"/>
    <w:rsid w:val="0087217E"/>
    <w:rsid w:val="008728AB"/>
    <w:rsid w:val="0087459F"/>
    <w:rsid w:val="00876036"/>
    <w:rsid w:val="00884C79"/>
    <w:rsid w:val="00890E48"/>
    <w:rsid w:val="00892953"/>
    <w:rsid w:val="008932B8"/>
    <w:rsid w:val="00895B73"/>
    <w:rsid w:val="00896732"/>
    <w:rsid w:val="008C3831"/>
    <w:rsid w:val="008C39A5"/>
    <w:rsid w:val="008D2374"/>
    <w:rsid w:val="008D2C8F"/>
    <w:rsid w:val="008D7398"/>
    <w:rsid w:val="008E0578"/>
    <w:rsid w:val="008E29EA"/>
    <w:rsid w:val="008E518A"/>
    <w:rsid w:val="008F0921"/>
    <w:rsid w:val="008F1A2A"/>
    <w:rsid w:val="00907BE7"/>
    <w:rsid w:val="00910152"/>
    <w:rsid w:val="00912D30"/>
    <w:rsid w:val="009226F8"/>
    <w:rsid w:val="00926CF6"/>
    <w:rsid w:val="0092785B"/>
    <w:rsid w:val="00930D61"/>
    <w:rsid w:val="00934DF3"/>
    <w:rsid w:val="00934F8E"/>
    <w:rsid w:val="009440E5"/>
    <w:rsid w:val="009574E0"/>
    <w:rsid w:val="00961BAC"/>
    <w:rsid w:val="00967154"/>
    <w:rsid w:val="0097762E"/>
    <w:rsid w:val="00985074"/>
    <w:rsid w:val="00994023"/>
    <w:rsid w:val="009A0F11"/>
    <w:rsid w:val="009A4DEB"/>
    <w:rsid w:val="009A7E9A"/>
    <w:rsid w:val="009B0414"/>
    <w:rsid w:val="009C103B"/>
    <w:rsid w:val="009C1968"/>
    <w:rsid w:val="009C2C93"/>
    <w:rsid w:val="009C4510"/>
    <w:rsid w:val="009C4FC3"/>
    <w:rsid w:val="009D03C8"/>
    <w:rsid w:val="009D1073"/>
    <w:rsid w:val="009D30B4"/>
    <w:rsid w:val="009E48A6"/>
    <w:rsid w:val="009F6C8D"/>
    <w:rsid w:val="00A15E79"/>
    <w:rsid w:val="00A21BB3"/>
    <w:rsid w:val="00A24225"/>
    <w:rsid w:val="00A26434"/>
    <w:rsid w:val="00A40D85"/>
    <w:rsid w:val="00A40DB7"/>
    <w:rsid w:val="00A4701E"/>
    <w:rsid w:val="00A503E9"/>
    <w:rsid w:val="00A52647"/>
    <w:rsid w:val="00A56074"/>
    <w:rsid w:val="00A56FAD"/>
    <w:rsid w:val="00A6114F"/>
    <w:rsid w:val="00A72AF2"/>
    <w:rsid w:val="00A80051"/>
    <w:rsid w:val="00A8025B"/>
    <w:rsid w:val="00A81BAD"/>
    <w:rsid w:val="00A933DC"/>
    <w:rsid w:val="00A94001"/>
    <w:rsid w:val="00A946C6"/>
    <w:rsid w:val="00AA221F"/>
    <w:rsid w:val="00AB31ED"/>
    <w:rsid w:val="00AB50B3"/>
    <w:rsid w:val="00AC3DBE"/>
    <w:rsid w:val="00AC6F03"/>
    <w:rsid w:val="00AE1D5D"/>
    <w:rsid w:val="00AE2A99"/>
    <w:rsid w:val="00B10138"/>
    <w:rsid w:val="00B13FD8"/>
    <w:rsid w:val="00B1496D"/>
    <w:rsid w:val="00B228C8"/>
    <w:rsid w:val="00B34CC5"/>
    <w:rsid w:val="00B36E9F"/>
    <w:rsid w:val="00B4005E"/>
    <w:rsid w:val="00B425E1"/>
    <w:rsid w:val="00B447A5"/>
    <w:rsid w:val="00B564AF"/>
    <w:rsid w:val="00B57BED"/>
    <w:rsid w:val="00B703E2"/>
    <w:rsid w:val="00B724F5"/>
    <w:rsid w:val="00B727E9"/>
    <w:rsid w:val="00B747BE"/>
    <w:rsid w:val="00B75AF3"/>
    <w:rsid w:val="00B841C6"/>
    <w:rsid w:val="00B84338"/>
    <w:rsid w:val="00B870AD"/>
    <w:rsid w:val="00B93D9C"/>
    <w:rsid w:val="00B942E3"/>
    <w:rsid w:val="00B953BE"/>
    <w:rsid w:val="00BA5000"/>
    <w:rsid w:val="00BC35FF"/>
    <w:rsid w:val="00BC3EC5"/>
    <w:rsid w:val="00BC681D"/>
    <w:rsid w:val="00BD469D"/>
    <w:rsid w:val="00BD4B70"/>
    <w:rsid w:val="00BF7501"/>
    <w:rsid w:val="00C00F8A"/>
    <w:rsid w:val="00C13582"/>
    <w:rsid w:val="00C1644B"/>
    <w:rsid w:val="00C20927"/>
    <w:rsid w:val="00C20A8C"/>
    <w:rsid w:val="00C222C7"/>
    <w:rsid w:val="00C357AF"/>
    <w:rsid w:val="00C37FC3"/>
    <w:rsid w:val="00C43B70"/>
    <w:rsid w:val="00C447D6"/>
    <w:rsid w:val="00C5602D"/>
    <w:rsid w:val="00C56383"/>
    <w:rsid w:val="00C61A03"/>
    <w:rsid w:val="00C63835"/>
    <w:rsid w:val="00C70234"/>
    <w:rsid w:val="00C72E9B"/>
    <w:rsid w:val="00C770F8"/>
    <w:rsid w:val="00C8222C"/>
    <w:rsid w:val="00C90060"/>
    <w:rsid w:val="00C916E8"/>
    <w:rsid w:val="00C91711"/>
    <w:rsid w:val="00C95BE9"/>
    <w:rsid w:val="00CB263C"/>
    <w:rsid w:val="00CB4A4B"/>
    <w:rsid w:val="00CC75D4"/>
    <w:rsid w:val="00CC7FAB"/>
    <w:rsid w:val="00CD00B9"/>
    <w:rsid w:val="00CD1040"/>
    <w:rsid w:val="00CD15FB"/>
    <w:rsid w:val="00CE146E"/>
    <w:rsid w:val="00CE1C67"/>
    <w:rsid w:val="00CF3EAC"/>
    <w:rsid w:val="00CF584F"/>
    <w:rsid w:val="00D1001F"/>
    <w:rsid w:val="00D15C5E"/>
    <w:rsid w:val="00D33BB3"/>
    <w:rsid w:val="00D41EB0"/>
    <w:rsid w:val="00D44DFA"/>
    <w:rsid w:val="00D45744"/>
    <w:rsid w:val="00D46659"/>
    <w:rsid w:val="00D539AB"/>
    <w:rsid w:val="00D571DC"/>
    <w:rsid w:val="00D62373"/>
    <w:rsid w:val="00D65255"/>
    <w:rsid w:val="00D65F99"/>
    <w:rsid w:val="00D67975"/>
    <w:rsid w:val="00D8762A"/>
    <w:rsid w:val="00D909AD"/>
    <w:rsid w:val="00D96DD1"/>
    <w:rsid w:val="00DA0533"/>
    <w:rsid w:val="00DA752C"/>
    <w:rsid w:val="00DA7E4E"/>
    <w:rsid w:val="00DB0CDA"/>
    <w:rsid w:val="00DB0EB9"/>
    <w:rsid w:val="00DB1614"/>
    <w:rsid w:val="00DB6E9F"/>
    <w:rsid w:val="00DC301C"/>
    <w:rsid w:val="00DC56EB"/>
    <w:rsid w:val="00DD69CF"/>
    <w:rsid w:val="00DF092D"/>
    <w:rsid w:val="00DF1699"/>
    <w:rsid w:val="00E10628"/>
    <w:rsid w:val="00E14B1B"/>
    <w:rsid w:val="00E15DCF"/>
    <w:rsid w:val="00E20380"/>
    <w:rsid w:val="00E23D0A"/>
    <w:rsid w:val="00E26224"/>
    <w:rsid w:val="00E40263"/>
    <w:rsid w:val="00E4308A"/>
    <w:rsid w:val="00E4492D"/>
    <w:rsid w:val="00E53315"/>
    <w:rsid w:val="00E55283"/>
    <w:rsid w:val="00E61879"/>
    <w:rsid w:val="00E63F6E"/>
    <w:rsid w:val="00E6445A"/>
    <w:rsid w:val="00E6580C"/>
    <w:rsid w:val="00E65D3A"/>
    <w:rsid w:val="00E7082D"/>
    <w:rsid w:val="00E75A59"/>
    <w:rsid w:val="00E913FE"/>
    <w:rsid w:val="00EA4DBD"/>
    <w:rsid w:val="00EB11ED"/>
    <w:rsid w:val="00EB4491"/>
    <w:rsid w:val="00EB62A7"/>
    <w:rsid w:val="00EB72FD"/>
    <w:rsid w:val="00EE6145"/>
    <w:rsid w:val="00EF0C82"/>
    <w:rsid w:val="00EF326F"/>
    <w:rsid w:val="00F03DC9"/>
    <w:rsid w:val="00F06529"/>
    <w:rsid w:val="00F12187"/>
    <w:rsid w:val="00F1268A"/>
    <w:rsid w:val="00F13A16"/>
    <w:rsid w:val="00F14A4A"/>
    <w:rsid w:val="00F16698"/>
    <w:rsid w:val="00F2019E"/>
    <w:rsid w:val="00F276AC"/>
    <w:rsid w:val="00F36F98"/>
    <w:rsid w:val="00F540BB"/>
    <w:rsid w:val="00F55516"/>
    <w:rsid w:val="00F61BFC"/>
    <w:rsid w:val="00F63F96"/>
    <w:rsid w:val="00F77980"/>
    <w:rsid w:val="00F80815"/>
    <w:rsid w:val="00F91D0D"/>
    <w:rsid w:val="00F96DC2"/>
    <w:rsid w:val="00FA0CBD"/>
    <w:rsid w:val="00FA26BC"/>
    <w:rsid w:val="00FA4A76"/>
    <w:rsid w:val="00FA5769"/>
    <w:rsid w:val="00FA6C50"/>
    <w:rsid w:val="00FA7F9C"/>
    <w:rsid w:val="00FB2829"/>
    <w:rsid w:val="00FB4C38"/>
    <w:rsid w:val="00FB63F0"/>
    <w:rsid w:val="00FC3661"/>
    <w:rsid w:val="00FC3870"/>
    <w:rsid w:val="00FC67D5"/>
    <w:rsid w:val="00FC6BD3"/>
    <w:rsid w:val="00FC7368"/>
    <w:rsid w:val="00FD4855"/>
    <w:rsid w:val="00FF1DCD"/>
    <w:rsid w:val="00FF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DE767"/>
  <w15:chartTrackingRefBased/>
  <w15:docId w15:val="{025F6184-C238-4437-8617-FE7A6511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B70"/>
    <w:pPr>
      <w:ind w:left="720"/>
      <w:contextualSpacing/>
    </w:pPr>
  </w:style>
  <w:style w:type="paragraph" w:styleId="Header">
    <w:name w:val="header"/>
    <w:basedOn w:val="Normal"/>
    <w:link w:val="HeaderChar"/>
    <w:uiPriority w:val="99"/>
    <w:unhideWhenUsed/>
    <w:rsid w:val="003D4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7C"/>
  </w:style>
  <w:style w:type="paragraph" w:styleId="Footer">
    <w:name w:val="footer"/>
    <w:basedOn w:val="Normal"/>
    <w:link w:val="FooterChar"/>
    <w:uiPriority w:val="99"/>
    <w:unhideWhenUsed/>
    <w:rsid w:val="003D4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D7C"/>
  </w:style>
  <w:style w:type="paragraph" w:styleId="BalloonText">
    <w:name w:val="Balloon Text"/>
    <w:basedOn w:val="Normal"/>
    <w:link w:val="BalloonTextChar"/>
    <w:uiPriority w:val="99"/>
    <w:semiHidden/>
    <w:unhideWhenUsed/>
    <w:rsid w:val="00585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B01"/>
    <w:rPr>
      <w:rFonts w:ascii="Segoe UI" w:hAnsi="Segoe UI" w:cs="Segoe UI"/>
      <w:sz w:val="18"/>
      <w:szCs w:val="18"/>
    </w:rPr>
  </w:style>
  <w:style w:type="character" w:styleId="Hyperlink">
    <w:name w:val="Hyperlink"/>
    <w:basedOn w:val="DefaultParagraphFont"/>
    <w:uiPriority w:val="99"/>
    <w:unhideWhenUsed/>
    <w:rsid w:val="00CD1040"/>
    <w:rPr>
      <w:color w:val="0563C1" w:themeColor="hyperlink"/>
      <w:u w:val="single"/>
    </w:rPr>
  </w:style>
  <w:style w:type="character" w:customStyle="1" w:styleId="UnresolvedMention">
    <w:name w:val="Unresolved Mention"/>
    <w:basedOn w:val="DefaultParagraphFont"/>
    <w:uiPriority w:val="99"/>
    <w:semiHidden/>
    <w:unhideWhenUsed/>
    <w:rsid w:val="00CD1040"/>
    <w:rPr>
      <w:color w:val="605E5C"/>
      <w:shd w:val="clear" w:color="auto" w:fill="E1DFDD"/>
    </w:rPr>
  </w:style>
  <w:style w:type="character" w:styleId="FollowedHyperlink">
    <w:name w:val="FollowedHyperlink"/>
    <w:basedOn w:val="DefaultParagraphFont"/>
    <w:uiPriority w:val="99"/>
    <w:semiHidden/>
    <w:unhideWhenUsed/>
    <w:rsid w:val="000704B4"/>
    <w:rPr>
      <w:color w:val="954F72" w:themeColor="followedHyperlink"/>
      <w:u w:val="single"/>
    </w:rPr>
  </w:style>
  <w:style w:type="paragraph" w:styleId="NormalWeb">
    <w:name w:val="Normal (Web)"/>
    <w:basedOn w:val="Normal"/>
    <w:uiPriority w:val="99"/>
    <w:semiHidden/>
    <w:unhideWhenUsed/>
    <w:rsid w:val="004617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4544">
      <w:bodyDiv w:val="1"/>
      <w:marLeft w:val="0"/>
      <w:marRight w:val="0"/>
      <w:marTop w:val="0"/>
      <w:marBottom w:val="0"/>
      <w:divBdr>
        <w:top w:val="none" w:sz="0" w:space="0" w:color="auto"/>
        <w:left w:val="none" w:sz="0" w:space="0" w:color="auto"/>
        <w:bottom w:val="none" w:sz="0" w:space="0" w:color="auto"/>
        <w:right w:val="none" w:sz="0" w:space="0" w:color="auto"/>
      </w:divBdr>
    </w:div>
    <w:div w:id="3780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63541/Schools_coronavirus_operational_guidance.pdf" TargetMode="External"/><Relationship Id="rId13" Type="http://schemas.openxmlformats.org/officeDocument/2006/relationships/hyperlink" Target="https://www.hse.gov.uk/coronavirus/equipment-and-machinery/air-conditioning-and-ventilation.htm" TargetMode="External"/><Relationship Id="rId18"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26" Type="http://schemas.openxmlformats.org/officeDocument/2006/relationships/hyperlink" Target="https://www.gov.uk/government/publications/coronavirus-covid-19-school-and-college-performance-measures" TargetMode="External"/><Relationship Id="rId3" Type="http://schemas.openxmlformats.org/officeDocument/2006/relationships/settings" Target="settings.xml"/><Relationship Id="rId21" Type="http://schemas.openxmlformats.org/officeDocument/2006/relationships/hyperlink" Target="https://www.educationsupport.org.uk/" TargetMode="External"/><Relationship Id="rId7" Type="http://schemas.openxmlformats.org/officeDocument/2006/relationships/image" Target="media/image1.png"/><Relationship Id="rId12" Type="http://schemas.openxmlformats.org/officeDocument/2006/relationships/hyperlink" Target="https://www.gov.uk/government/publications/covid-19-decontamination-in-non-healthcare-settings" TargetMode="External"/><Relationship Id="rId17" Type="http://schemas.openxmlformats.org/officeDocument/2006/relationships/hyperlink" Target="https://www.nhs.uk/oneyou/every-mind-matters/coronavirus-covid-19-staying-at-home-tips/" TargetMode="External"/><Relationship Id="rId25" Type="http://schemas.openxmlformats.org/officeDocument/2006/relationships/hyperlink" Target="https://www.gov.uk/government/publications/coronavirus-covid-19-reducing-burdens-on-educational-and-care-settings/reducing-burdens-on-educational-and-care-settings" TargetMode="External"/><Relationship Id="rId2" Type="http://schemas.openxmlformats.org/officeDocument/2006/relationships/styles" Target="styles.xml"/><Relationship Id="rId16" Type="http://schemas.openxmlformats.org/officeDocument/2006/relationships/hyperlink" Target="https://www.gov.uk/government/publications/covid-19-guidance-on-supporting-children-and-young-peoples-mental-health-and-wellbeing" TargetMode="External"/><Relationship Id="rId20" Type="http://schemas.openxmlformats.org/officeDocument/2006/relationships/hyperlink" Target="https://www.gov.uk/government/publications/coronavirus-covid-19-advice-for-pregnant-employees/coronavirus-covid-19-advice-for-pregnant-employe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gov.uk/involvement/index.htm" TargetMode="External"/><Relationship Id="rId24" Type="http://schemas.openxmlformats.org/officeDocument/2006/relationships/hyperlink" Target="https://assets.publishing.service.gov.uk/media/5ef0a9a5d3bf7f6c03ed25b7/Academies_Financial_Handbook_2020.pdf"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963541/Schools_coronavirus_operational_guidance.pdf" TargetMode="External"/><Relationship Id="rId23"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28" Type="http://schemas.openxmlformats.org/officeDocument/2006/relationships/fontTable" Target="fontTable.xml"/><Relationship Id="rId10" Type="http://schemas.openxmlformats.org/officeDocument/2006/relationships/hyperlink" Target="https://assets.publishing.service.gov.uk/government/uploads/system/uploads/attachment_data/file/963541/Schools_coronavirus_operational_guidance.pdf" TargetMode="External"/><Relationship Id="rId1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63541/Schools_coronavirus_operational_guidance.pdf" TargetMode="External"/><Relationship Id="rId14" Type="http://schemas.openxmlformats.org/officeDocument/2006/relationships/hyperlink" Target="https://assets.publishing.service.gov.uk/government/uploads/system/uploads/attachment_data/file/963541/Schools_coronavirus_operational_guidance.pdf" TargetMode="External"/><Relationship Id="rId22" Type="http://schemas.openxmlformats.org/officeDocument/2006/relationships/hyperlink" Target="https://www.gov.uk/government/publications/covid-19-guidance-for-food-businesses/guidance-for-food-businesses-on-coronavirus-covid-19"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Leora Cruddas</dc:creator>
  <cp:keywords/>
  <dc:description/>
  <cp:lastModifiedBy>James Bullock</cp:lastModifiedBy>
  <cp:revision>2</cp:revision>
  <cp:lastPrinted>2020-05-12T12:09:00Z</cp:lastPrinted>
  <dcterms:created xsi:type="dcterms:W3CDTF">2021-03-02T09:15:00Z</dcterms:created>
  <dcterms:modified xsi:type="dcterms:W3CDTF">2021-03-02T09:15:00Z</dcterms:modified>
</cp:coreProperties>
</file>